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pPr>
    </w:p>
    <w:p>
      <w:pPr>
        <w:spacing w:after="120"/>
        <w:jc w:val="center"/>
      </w:pPr>
      <w:r>
        <w:rPr>
          <w:rFonts w:ascii="Calibri" w:cs="Calibri" w:eastAsia="Calibri" w:hAnsi="Calibri"/>
          <w:b/>
          <w:bCs/>
          <w:color w:val="2E75B6"/>
          <w:sz w:val="28"/>
          <w:szCs w:val="28"/>
        </w:rPr>
        <w:t xml:space="preserve">C4</w:t>
      </w:r>
    </w:p>
    <w:p>
      <w:pPr>
        <w:spacing w:after="240"/>
        <w:jc w:val="center"/>
      </w:pPr>
      <w:r>
        <w:rPr>
          <w:rFonts w:ascii="Calibri" w:cs="Calibri" w:eastAsia="Calibri" w:hAnsi="Calibri"/>
          <w:b/>
          <w:bCs/>
          <w:color w:val="1F4E79"/>
          <w:sz w:val="44"/>
          <w:szCs w:val="44"/>
        </w:rPr>
        <w:t xml:space="preserve">Metodologi Riset Lanjutan dan Publikasi Ilmiah Kedokteran Haji</w:t>
      </w:r>
    </w:p>
    <w:p>
      <w:pPr>
        <w:spacing w:after="600"/>
        <w:jc w:val="center"/>
      </w:pPr>
      <w:r>
        <w:rPr>
          <w:rFonts w:ascii="Calibri" w:cs="Calibri" w:eastAsia="Calibri" w:hAnsi="Calibri"/>
          <w:i/>
          <w:iCs/>
          <w:sz w:val="28"/>
          <w:szCs w:val="28"/>
        </w:rPr>
        <w:t xml:space="preserve">Buku Tematik Jalur RPL Fellowship</w:t>
      </w:r>
    </w:p>
    <w:p>
      <w:pPr>
        <w:spacing w:after="120"/>
        <w:jc w:val="center"/>
      </w:pPr>
      <w:r>
        <w:rPr>
          <w:rFonts w:ascii="Calibri" w:cs="Calibri" w:eastAsia="Calibri" w:hAnsi="Calibri"/>
          <w:sz w:val="22"/>
          <w:szCs w:val="22"/>
        </w:rPr>
        <w:t xml:space="preserve">Jalur Magister Kedokteran Haji — Jalur RPL Fellowship (1 tahun/4 semester)</w:t>
      </w:r>
    </w:p>
    <w:p>
      <w:pPr>
        <w:spacing w:after="1200"/>
        <w:jc w:val="center"/>
      </w:pPr>
      <w:r>
        <w:rPr>
          <w:rFonts w:ascii="Calibri" w:cs="Calibri" w:eastAsia="Calibri" w:hAnsi="Calibri"/>
          <w:i/>
          <w:iCs/>
          <w:sz w:val="20"/>
          <w:szCs w:val="20"/>
        </w:rPr>
        <w:t xml:space="preserve">Berdasarkan Ekosistem 21 Buku Pendidikan Kedokteran Haji — Edisi Revisi 2 (Pasca-Audit Substansi)</w:t>
      </w:r>
    </w:p>
    <w:p>
      <w:pPr>
        <w:spacing w:after="60"/>
        <w:jc w:val="center"/>
      </w:pPr>
      <w:r>
        <w:rPr>
          <w:rFonts w:ascii="Calibri" w:cs="Calibri" w:eastAsia="Calibri" w:hAnsi="Calibri"/>
          <w:sz w:val="22"/>
          <w:szCs w:val="22"/>
        </w:rPr>
        <w:t xml:space="preserve">Disusun oleh:</w:t>
      </w:r>
    </w:p>
    <w:p>
      <w:pPr>
        <w:spacing w:after="60"/>
        <w:jc w:val="center"/>
      </w:pPr>
      <w:r>
        <w:rPr>
          <w:rFonts w:ascii="Calibri" w:cs="Calibri" w:eastAsia="Calibri" w:hAnsi="Calibri"/>
          <w:b/>
          <w:bCs/>
          <w:sz w:val="24"/>
          <w:szCs w:val="24"/>
        </w:rPr>
        <w:t xml:space="preserve">Dr. dr. H. Budi Siswanto, Sp.OG., Subsp.Obginsos., SH., S.Kom.</w:t>
      </w:r>
    </w:p>
    <w:p>
      <w:pPr>
        <w:spacing w:after="60"/>
        <w:jc w:val="center"/>
      </w:pPr>
      <w:r>
        <w:rPr>
          <w:rFonts w:ascii="Calibri" w:cs="Calibri" w:eastAsia="Calibri" w:hAnsi="Calibri"/>
          <w:sz w:val="22"/>
          <w:szCs w:val="22"/>
        </w:rPr>
        <w:t xml:space="preserve">Perpustakaan Digital ABBA</w:t>
      </w:r>
    </w:p>
    <w:p>
      <w:pPr>
        <w:jc w:val="center"/>
      </w:pPr>
      <w:r>
        <w:rPr>
          <w:rFonts w:ascii="Calibri" w:cs="Calibri" w:eastAsia="Calibri" w:hAnsi="Calibri"/>
          <w:sz w:val="22"/>
          <w:szCs w:val="22"/>
        </w:rPr>
        <w:t xml:space="preserve">Malang, 2026</w:t>
      </w:r>
    </w:p>
    <w:p>
      <w:r>
        <w:br w:type="page"/>
      </w:r>
    </w:p>
    <w:p>
      <w:pPr>
        <w:pStyle w:val="Heading1"/>
        <w:spacing w:after="240" w:before="480"/>
      </w:pPr>
      <w:r>
        <w:rPr>
          <w:rFonts w:ascii="Calibri" w:cs="Calibri" w:eastAsia="Calibri" w:hAnsi="Calibri"/>
          <w:b/>
          <w:bCs/>
          <w:color w:val="1F4E79"/>
          <w:sz w:val="32"/>
          <w:szCs w:val="32"/>
        </w:rPr>
        <w:t xml:space="preserve">Deskripsi Buku</w:t>
      </w:r>
    </w:p>
    <w:p>
      <w:pPr>
        <w:spacing w:after="200" w:line="300"/>
        <w:jc w:val="both"/>
      </w:pPr>
      <w:r>
        <w:rPr>
          <w:rFonts w:ascii="Calibri" w:cs="Calibri" w:eastAsia="Calibri" w:hAnsi="Calibri"/>
          <w:i w:val="false"/>
          <w:iCs w:val="false"/>
          <w:sz w:val="24"/>
          <w:szCs w:val="24"/>
        </w:rPr>
        <w:t xml:space="preserve">Versi lanjutan dari Buku A4, disesuaikan bagi peserta Jalur RPL Fellowship yang telah berpengalaman klinis dan berfokus pada riset kebijakan/pendidikan tingkat lanjut. Buku ini membahas riset lanjutan mixed-methods dalam kebijakan kesehatan, analisis data kualitatif tingkat lanjut (tematik dan grounded theory), strategi publikasi pada jurnal bereputasi internasional, etika publikasi dan integritas akademik, serta diseminasi hasil riset kepada pemangku kebijakan dan publik sebagai penutup seri Jalur C.</w:t>
      </w:r>
    </w:p>
    <w:p>
      <w:r>
        <w:br w:type="page"/>
      </w:r>
    </w:p>
    <w:p>
      <w:pPr>
        <w:pStyle w:val="Heading1"/>
        <w:spacing w:after="240" w:before="480"/>
      </w:pPr>
      <w:r>
        <w:rPr>
          <w:rFonts w:ascii="Calibri" w:cs="Calibri" w:eastAsia="Calibri" w:hAnsi="Calibri"/>
          <w:b/>
          <w:bCs/>
          <w:color w:val="1F4E79"/>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r>
        <w:br w:type="page"/>
      </w:r>
    </w:p>
    <w:p>
      <w:pPr>
        <w:pStyle w:val="Heading1"/>
        <w:spacing w:after="240" w:before="480"/>
      </w:pPr>
      <w:r>
        <w:rPr>
          <w:rFonts w:ascii="Calibri" w:cs="Calibri" w:eastAsia="Calibri" w:hAnsi="Calibri"/>
          <w:b/>
          <w:bCs/>
          <w:color w:val="1F4E79"/>
          <w:sz w:val="32"/>
          <w:szCs w:val="32"/>
        </w:rPr>
        <w:t xml:space="preserve">Bab 1. Riset Lanjutan Mixed-Methods dalam Kebijakan Kesehatan</w:t>
      </w:r>
    </w:p>
    <w:p>
      <w:pPr>
        <w:spacing w:after="200" w:line="300"/>
        <w:jc w:val="both"/>
      </w:pPr>
      <w:r>
        <w:rPr>
          <w:rFonts w:ascii="Calibri" w:cs="Calibri" w:eastAsia="Calibri" w:hAnsi="Calibri"/>
          <w:i w:val="false"/>
          <w:iCs w:val="false"/>
          <w:sz w:val="24"/>
          <w:szCs w:val="24"/>
        </w:rPr>
        <w:t xml:space="preserve">Buku ini adalah versi lanjutan dari Buku A4 (Metodologi Riset dan Penulisan Tesis Kedokteran Haji), disesuaikan bagi lulusan jalur RPL Fellowship yang telah memiliki pengalaman klinis dan berfokus pada riset kebijakan serta pendidikan tingkat lanjut. Buku ini tidak mengulang dasar-dasar metodologi riset yang telah Anda kuasai; sebaliknya, buku ini memperdalam teknik mixed-methods tingkat lanjut dan strategi publikasi internasional yang relevan bagi riset kebijakan kesehatan haji.</w:t>
      </w:r>
    </w:p>
    <w:p>
      <w:pPr>
        <w:pStyle w:val="Heading2"/>
        <w:spacing w:after="180" w:before="360"/>
      </w:pPr>
      <w:r>
        <w:rPr>
          <w:rFonts w:ascii="Calibri" w:cs="Calibri" w:eastAsia="Calibri" w:hAnsi="Calibri"/>
          <w:b/>
          <w:bCs/>
          <w:color w:val="2E75B6"/>
          <w:sz w:val="26"/>
          <w:szCs w:val="26"/>
        </w:rPr>
        <w:t xml:space="preserve">1.1 Melampaui Mixed-Methods Dasar: Desain Tingkat Lanjut</w:t>
      </w:r>
    </w:p>
    <w:p>
      <w:pPr>
        <w:spacing w:after="200" w:line="300"/>
        <w:jc w:val="both"/>
      </w:pPr>
      <w:r>
        <w:rPr>
          <w:rFonts w:ascii="Calibri" w:cs="Calibri" w:eastAsia="Calibri" w:hAnsi="Calibri"/>
          <w:i w:val="false"/>
          <w:iCs w:val="false"/>
          <w:sz w:val="24"/>
          <w:szCs w:val="24"/>
        </w:rPr>
        <w:t xml:space="preserve">Dua desain berikut melangkah lebih jauh dari mixed-methods dasar yang sudah Anda kenal dari Buku C1 Bab 5, masing-masing cocok untuk situasi riset kebijakan yang berbeda.</w:t>
      </w:r>
    </w:p>
    <w:p>
      <w:pPr>
        <w:pStyle w:val="Heading3"/>
        <w:spacing w:after="140" w:before="280"/>
      </w:pPr>
      <w:r>
        <w:rPr>
          <w:rFonts w:ascii="Calibri" w:cs="Calibri" w:eastAsia="Calibri" w:hAnsi="Calibri"/>
          <w:b/>
          <w:bCs/>
          <w:i/>
          <w:iCs/>
          <w:color w:val="2E75B6"/>
          <w:sz w:val="24"/>
          <w:szCs w:val="24"/>
        </w:rPr>
        <w:t xml:space="preserve">1.1.1 Desain Multiphase</w:t>
      </w:r>
    </w:p>
    <w:p>
      <w:pPr>
        <w:spacing w:after="200" w:line="300"/>
        <w:jc w:val="both"/>
      </w:pPr>
      <w:r>
        <w:rPr>
          <w:rFonts w:ascii="Calibri" w:cs="Calibri" w:eastAsia="Calibri" w:hAnsi="Calibri"/>
          <w:i w:val="false"/>
          <w:iCs w:val="false"/>
          <w:sz w:val="24"/>
          <w:szCs w:val="24"/>
        </w:rPr>
        <w:t xml:space="preserve">Mengintegrasikan beberapa siklus pengumpulan data kuantitatif dan kualitatif secara berurutan sepanjang durasi riset kebijakan multi-tahun.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Sebuah riset tiga tahun mengumpulkan data kuantitatif tahunan dari SISKOHAT sambil melakukan wawancara kualitatif setiap tahun untuk memahami perubahan konteks implementasi dari waktu ke waktu.</w:t>
      </w:r>
    </w:p>
    <w:p>
      <w:pPr>
        <w:pStyle w:val="Heading3"/>
        <w:spacing w:after="140" w:before="280"/>
      </w:pPr>
      <w:r>
        <w:rPr>
          <w:rFonts w:ascii="Calibri" w:cs="Calibri" w:eastAsia="Calibri" w:hAnsi="Calibri"/>
          <w:b/>
          <w:bCs/>
          <w:i/>
          <w:iCs/>
          <w:color w:val="2E75B6"/>
          <w:sz w:val="24"/>
          <w:szCs w:val="24"/>
        </w:rPr>
        <w:t xml:space="preserve">1.1.2 Desain Mixed-Methods Partisipatif</w:t>
      </w:r>
    </w:p>
    <w:p>
      <w:pPr>
        <w:spacing w:after="200" w:line="300"/>
        <w:jc w:val="both"/>
      </w:pPr>
      <w:r>
        <w:rPr>
          <w:rFonts w:ascii="Calibri" w:cs="Calibri" w:eastAsia="Calibri" w:hAnsi="Calibri"/>
          <w:i w:val="false"/>
          <w:iCs w:val="false"/>
          <w:sz w:val="24"/>
          <w:szCs w:val="24"/>
        </w:rPr>
        <w:t xml:space="preserve">Melibatkan pemangku kepentingan lapangan — fasilitator KBIHU, petugas puskesmas, TKHI — bukan hanya sebagai subjek penelitian, melainkan sebagai co-researcher yang turut merumuskan pertanyaan riset dan menginterpretasikan temuan.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Alih-alih hanya mewawancarai fasilitator KBIHU sebagai sumber data, peneliti mengajak beberapa fasilitator senior duduk bersama menginterpretasikan mengapa suatu pola data muncul — memanfaatkan pemahaman kontekstual yang tidak dimiliki peneliti dari luar lapangan.</w:t>
      </w:r>
    </w:p>
    <w:p>
      <w:pPr>
        <w:pStyle w:val="Heading2"/>
        <w:spacing w:after="180" w:before="360"/>
      </w:pPr>
      <w:r>
        <w:rPr>
          <w:rFonts w:ascii="Calibri" w:cs="Calibri" w:eastAsia="Calibri" w:hAnsi="Calibri"/>
          <w:b/>
          <w:bCs/>
          <w:color w:val="2E75B6"/>
          <w:sz w:val="26"/>
          <w:szCs w:val="26"/>
        </w:rPr>
        <w:t xml:space="preserve">1.2 Integrasi Data pada Tingkat Analisis, Bukan Hanya Tingkat Pelaporan</w:t>
      </w:r>
    </w:p>
    <w:p>
      <w:pPr>
        <w:spacing w:after="200" w:line="300"/>
        <w:jc w:val="both"/>
      </w:pPr>
      <w:r>
        <w:rPr>
          <w:rFonts w:ascii="Calibri" w:cs="Calibri" w:eastAsia="Calibri" w:hAnsi="Calibri"/>
          <w:i w:val="false"/>
          <w:iCs w:val="false"/>
          <w:sz w:val="24"/>
          <w:szCs w:val="24"/>
        </w:rPr>
        <w:t xml:space="preserve">Kesalahan berikut adalah yang paling umum ditemukan pada riset mixed-methods tingkat pemula, dan penting Anda hindari sejak awal perencanaan analisis.</w:t>
      </w:r>
    </w:p>
    <w:p>
      <w:pPr>
        <w:spacing w:after="200" w:line="300"/>
        <w:jc w:val="both"/>
      </w:pPr>
      <w:r>
        <w:rPr>
          <w:rFonts w:ascii="Calibri" w:cs="Calibri" w:eastAsia="Calibri" w:hAnsi="Calibri"/>
          <w:i w:val="false"/>
          <w:iCs w:val="false"/>
          <w:sz w:val="24"/>
          <w:szCs w:val="24"/>
        </w:rPr>
        <w:t xml:space="preserve">Kesalahan umum dalam riset mixed-methods tingkat pemula adalah melakukan analisis kuantitatif dan kualitatif secara sepenuhnya terpisah, kemudian hanya menggabungkan kedua hasil pada tingkat pelaporan akhir (side-by-side comparison). Riset mixed-methods tingkat lanjut menuntut integrasi yang lebih mendalam pada tingkat analisis itu sendiri — misalnya melalui teknik joint display yang secara sistematis memetakan bagaimana setiap temuan kualitatif menjelaskan, memperkuat, atau justru mengontradiksi temuan kuantitatif tertentu, menghasilkan meta-inferensi yang lebih kaya dibandingkan kedua jenis data disajikan secara terpisah.</w:t>
      </w:r>
    </w:p>
    <w:p>
      <w:pPr>
        <w:spacing w:after="200" w:line="300"/>
        <w:jc w:val="both"/>
      </w:pPr>
      <w:r>
        <w:rPr>
          <w:rFonts w:ascii="Calibri" w:cs="Calibri" w:eastAsia="Calibri" w:hAnsi="Calibri"/>
          <w:i w:val="false"/>
          <w:iCs w:val="false"/>
          <w:sz w:val="24"/>
          <w:szCs w:val="24"/>
        </w:rPr>
        <w:t xml:space="preserve">Kontradiksi antara temuan kuantitatif dan kualitatif, alih-alih dianggap sebagai kelemahan riset yang perlu disembunyikan, justru seringkali menjadi temuan paling berharga dalam riset kebijakan — mengungkap kompleksitas implementasi lapangan yang tidak tertangkap data administratif semata.</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Sebuah tabel joint display sederhana dapat memuat tiga kolom: temuan kuantitatif (skor pengetahuan naik 20 poin), temuan kualitatif terkait (fasilitator melaporkan peserta lebih antusias dengan metode simulasi), dan interpretasi gabungan (peningkatan skor kemungkinan didorong oleh keterlibatan aktif, bukan sekadar pengulangan materi).</w:t>
      </w:r>
    </w:p>
    <w:p>
      <w:pPr>
        <w:pStyle w:val="Heading2"/>
        <w:spacing w:after="180" w:before="360"/>
      </w:pPr>
      <w:r>
        <w:rPr>
          <w:rFonts w:ascii="Calibri" w:cs="Calibri" w:eastAsia="Calibri" w:hAnsi="Calibri"/>
          <w:b/>
          <w:bCs/>
          <w:color w:val="2E75B6"/>
          <w:sz w:val="26"/>
          <w:szCs w:val="26"/>
        </w:rPr>
        <w:t xml:space="preserve">1.3 Pertimbangan Rigor Metodologis dalam Mixed-Methods</w:t>
      </w:r>
    </w:p>
    <w:p>
      <w:pPr>
        <w:spacing w:after="200" w:line="300"/>
        <w:jc w:val="both"/>
      </w:pPr>
      <w:r>
        <w:rPr>
          <w:rFonts w:ascii="Calibri" w:cs="Calibri" w:eastAsia="Calibri" w:hAnsi="Calibri"/>
          <w:i w:val="false"/>
          <w:iCs w:val="false"/>
          <w:sz w:val="24"/>
          <w:szCs w:val="24"/>
        </w:rPr>
        <w:t xml:space="preserve">Riset mixed-methods tingkat lanjut menuntut kejelasan mengenai bobot relatif (priority) antara komponen kuantitatif dan kualitatif — apakah riset didominasi komponen kuantitatif dengan pelengkap kualitatif (QUAN+qual), didominasi komponen kualitatif dengan pelengkap kuantitatif (QUAL+quan), atau memiliki bobot setara (QUAN+QUAL) — serta urutan waktu pengumpulan data (sekuensial atau konvergen). Kejelasan notasi dan justifikasi desain ini penting disampaikan secara eksplisit dalam bagian metodologi publikasi ilmiah Anda, mengingat pembaca dan penelaah jurnal internasional mengharapkan tingkat presisi metodologis yang tinggi pada riset mixed-methods, berbeda dari deskripsi umum yang mungkin cukup untuk laporan evaluasi kebijakan domestik sebagaimana dibahas pada Buku C2.</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Tim riset kebijakan hipotetis merancang studi multiphase tiga tahun untuk mengevaluasi dampak jangka panjang revisi kurikulum manasik kesehatan, mengombinasikan data kuantitatif tahunan dari SISKOHAT dengan wawancara kualitatif partisipatif yang melibatkan fasilitator KBIHU sebagai co-researcher dalam menginterpretasikan tren data. Melalui teknik joint display, tim menemukan bahwa penurunan skor pengetahuan pada tahun kedua (yang tampak sebagai temuan negatif secara kuantitatif) sesungguhnya mencerminkan perubahan komposisi demografis peserta manasik yang lebih heterogen tahun tersebut — sebuah penjelasan yang hanya terungkap melalui integrasi mendalam kedua jenis data. [DATA: rujuk laporan evaluasi resmi Kemenhaj/Kemenkes terbaru untuk hasil studi multiphase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Jelaskan perbedaan antara integrasi data mixed-methods pada tingkat pelaporan (side-by-side) dengan integrasi pada tingkat analisis (joint display), dan berikan contoh penerapannya pada konteks riset kebijakan kesehatan haji.</w:t>
      </w:r>
    </w:p>
    <w:p>
      <w:pPr>
        <w:spacing w:after="200" w:line="300"/>
        <w:jc w:val="both"/>
      </w:pPr>
      <w:r>
        <w:rPr>
          <w:rFonts w:ascii="Calibri" w:cs="Calibri" w:eastAsia="Calibri" w:hAnsi="Calibri"/>
          <w:i w:val="false"/>
          <w:iCs w:val="false"/>
          <w:sz w:val="24"/>
          <w:szCs w:val="24"/>
        </w:rPr>
        <w:t xml:space="preserve">2. Tentukan notasi bobot dan urutan (misalnya QUAN+qual sekuensial) yang paling sesuai untuk pertanyaan riset kebijakan yang Anda rumuskan pada Buku C1 Bab 8, dan jelaskan alasannya.</w:t>
      </w:r>
    </w:p>
    <w:p>
      <w:pPr>
        <w:spacing w:after="200" w:line="300"/>
        <w:jc w:val="both"/>
      </w:pPr>
      <w:r>
        <w:rPr>
          <w:rFonts w:ascii="Calibri" w:cs="Calibri" w:eastAsia="Calibri" w:hAnsi="Calibri"/>
          <w:i w:val="false"/>
          <w:iCs w:val="false"/>
          <w:sz w:val="24"/>
          <w:szCs w:val="24"/>
        </w:rPr>
        <w:t xml:space="preserve">3. Diskusikan mengapa kontradiksi antara temuan kuantitatif dan kualitatif dalam riset kebijakan sebaiknya dipandang sebagai peluang, bukan kelemahan yang perlu disembunyikan.</w:t>
      </w:r>
    </w:p>
    <w:p>
      <w:r>
        <w:br w:type="page"/>
      </w:r>
    </w:p>
    <w:p>
      <w:pPr>
        <w:pStyle w:val="Heading1"/>
        <w:spacing w:after="240" w:before="480"/>
      </w:pPr>
      <w:r>
        <w:rPr>
          <w:rFonts w:ascii="Calibri" w:cs="Calibri" w:eastAsia="Calibri" w:hAnsi="Calibri"/>
          <w:b/>
          <w:bCs/>
          <w:color w:val="1F4E79"/>
          <w:sz w:val="32"/>
          <w:szCs w:val="32"/>
        </w:rPr>
        <w:t xml:space="preserve">Bab 2. Analisis Data Kualitatif Tingkat Lanjut (Tematik, Grounded Theory)</w:t>
      </w:r>
    </w:p>
    <w:p>
      <w:pPr>
        <w:spacing w:after="200" w:line="300"/>
        <w:jc w:val="both"/>
      </w:pPr>
      <w:r>
        <w:rPr>
          <w:rFonts w:ascii="Calibri" w:cs="Calibri" w:eastAsia="Calibri" w:hAnsi="Calibri"/>
          <w:i w:val="false"/>
          <w:iCs w:val="false"/>
          <w:sz w:val="24"/>
          <w:szCs w:val="24"/>
        </w:rPr>
        <w:t xml:space="preserve">Sebagaimana dijanjikan pada Buku C1 Bab 5, bab ini memperdalam secara teknis teknik analisis data kualitatif tingkat lanjut yang relevan bagi riset kebijakan dan pendidikan kesehatan haji, secara khusus analisis tematik dan grounded theory — dua pendekatan yang paling sering digunakan dalam riset kebijakan kesehatan namun memiliki filosofi dan prosedur yang berbeda secara mendasar.</w:t>
      </w:r>
    </w:p>
    <w:p>
      <w:pPr>
        <w:pStyle w:val="Heading2"/>
        <w:spacing w:after="180" w:before="360"/>
      </w:pPr>
      <w:r>
        <w:rPr>
          <w:rFonts w:ascii="Calibri" w:cs="Calibri" w:eastAsia="Calibri" w:hAnsi="Calibri"/>
          <w:b/>
          <w:bCs/>
          <w:color w:val="2E75B6"/>
          <w:sz w:val="26"/>
          <w:szCs w:val="26"/>
        </w:rPr>
        <w:t xml:space="preserve">2.1 Analisis Tematik: Fleksibilitas dan Kedalaman</w:t>
      </w:r>
    </w:p>
    <w:p>
      <w:pPr>
        <w:spacing w:after="200" w:line="300"/>
        <w:jc w:val="both"/>
      </w:pPr>
      <w:r>
        <w:rPr>
          <w:rFonts w:ascii="Calibri" w:cs="Calibri" w:eastAsia="Calibri" w:hAnsi="Calibri"/>
          <w:i w:val="false"/>
          <w:iCs w:val="false"/>
          <w:sz w:val="24"/>
          <w:szCs w:val="24"/>
        </w:rPr>
        <w:t xml:space="preserve">Sebelum memilih antara analisis tematik dan grounded theory pada sub-bab berikutnya, pahami dulu bahwa analisis tematik adalah pilihan yang lebih praktis untuk sebagian besar tesis Anda.</w:t>
      </w:r>
    </w:p>
    <w:p>
      <w:pPr>
        <w:spacing w:after="200" w:line="300"/>
        <w:jc w:val="both"/>
      </w:pPr>
      <w:r>
        <w:rPr>
          <w:rFonts w:ascii="Calibri" w:cs="Calibri" w:eastAsia="Calibri" w:hAnsi="Calibri"/>
          <w:i w:val="false"/>
          <w:iCs w:val="false"/>
          <w:sz w:val="24"/>
          <w:szCs w:val="24"/>
        </w:rPr>
        <w:t xml:space="preserve">Analisis tematik, sebagaimana dikembangkan Braun dan Clarke, menawarkan pendekatan yang relatif fleksibel untuk mengidentifikasi, menganalisis, dan melaporkan pola (tema) dalam data kualitatif. Prosedur enam tahap yang mereka kembangkan — familiarisasi data, pembuatan kode awal, pencarian tema, peninjauan tema, penamaan dan pendefinisian tema, serta penulisan laporan — memberikan kerangka sistematis yang dapat diadaptasi baik untuk pendekatan induktif (tema muncul dari data) maupun deduktif (tema dipandu kerangka teoretis yang sudah ada, misalnya kerangka RE-AIM dari Buku C2).</w:t>
      </w:r>
    </w:p>
    <w:p>
      <w:pPr>
        <w:spacing w:after="200" w:line="300"/>
        <w:jc w:val="both"/>
      </w:pPr>
      <w:r>
        <w:rPr>
          <w:rFonts w:ascii="Calibri" w:cs="Calibri" w:eastAsia="Calibri" w:hAnsi="Calibri"/>
          <w:i w:val="false"/>
          <w:iCs w:val="false"/>
          <w:sz w:val="24"/>
          <w:szCs w:val="24"/>
        </w:rPr>
        <w:t xml:space="preserve">Bagi riset evaluasi kebijakan kesehatan haji, analisis tematik deduktif yang dipandu kerangka logika program atau kerangka evaluasi tertentu seringkali lebih praktis dan relevan dibandingkan pendekatan induktif murni, karena riset kebijakan umumnya memang bertujuan menjawab pertanyaan spesifik yang telah dirumuskan sejak awal, bukan eksplorasi terbuka tanpa arah teoretis.</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Ketika menganalisis wawancara fasilitator KBIHU, peneliti dapat langsung menggunakan lima dimensi RE-AIM (Reach, Effectiveness, Adoption, Implementation, Maintenance) sebagai kategori kode awal (pendekatan deduktif), dibandingkan membiarkan tema muncul sepenuhnya bebas dari data tanpa arah teoretis apa pun.</w:t>
      </w:r>
    </w:p>
    <w:p>
      <w:pPr>
        <w:pStyle w:val="Heading2"/>
        <w:spacing w:after="180" w:before="360"/>
      </w:pPr>
      <w:r>
        <w:rPr>
          <w:rFonts w:ascii="Calibri" w:cs="Calibri" w:eastAsia="Calibri" w:hAnsi="Calibri"/>
          <w:b/>
          <w:bCs/>
          <w:color w:val="2E75B6"/>
          <w:sz w:val="26"/>
          <w:szCs w:val="26"/>
        </w:rPr>
        <w:t xml:space="preserve">2.2 Grounded Theory: Membangun Teori dari Data Lapangan</w:t>
      </w:r>
    </w:p>
    <w:p>
      <w:pPr>
        <w:spacing w:after="200" w:line="300"/>
        <w:jc w:val="both"/>
      </w:pPr>
      <w:r>
        <w:rPr>
          <w:rFonts w:ascii="Calibri" w:cs="Calibri" w:eastAsia="Calibri" w:hAnsi="Calibri"/>
          <w:i w:val="false"/>
          <w:iCs w:val="false"/>
          <w:sz w:val="24"/>
          <w:szCs w:val="24"/>
        </w:rPr>
        <w:t xml:space="preserve">Berbeda dari analisis tematik di atas, pendekatan berikut menuntut komitmen yang jauh lebih besar dan hanya relevan pada situasi tertentu yang perlu Anda kenali sebelum memilihnya.</w:t>
      </w:r>
    </w:p>
    <w:p>
      <w:pPr>
        <w:spacing w:after="200" w:line="300"/>
        <w:jc w:val="both"/>
      </w:pPr>
      <w:r>
        <w:rPr>
          <w:rFonts w:ascii="Calibri" w:cs="Calibri" w:eastAsia="Calibri" w:hAnsi="Calibri"/>
          <w:i w:val="false"/>
          <w:iCs w:val="false"/>
          <w:sz w:val="24"/>
          <w:szCs w:val="24"/>
        </w:rPr>
        <w:t xml:space="preserve">Berbeda dari analisis tematik, grounded theory bertujuan membangun teori baru yang berakar dari data (grounded), particularly berguna ketika fenomena yang diteliti belum memiliki kerangka teoretis yang memadai dalam literatur yang ada — misalnya dinamika sosial-organisasional bagaimana kader KBIHU membuat keputusan di lapangan ketika menghadapi situasi yang tidak tercakup dalam pelatihan formal mereka. Prosedur grounded theory melibatkan pengumpulan dan analisis data secara simultan dan iteratif (constant comparative method), pengambilan sampel teoretis (theoretical sampling) yang diarahkan oleh kategori yang muncul dari analisis awal, hingga tercapai saturasi teoretis.</w:t>
      </w:r>
    </w:p>
    <w:p>
      <w:pPr>
        <w:spacing w:after="200" w:line="300"/>
        <w:jc w:val="both"/>
      </w:pPr>
      <w:r>
        <w:rPr>
          <w:rFonts w:ascii="Calibri" w:cs="Calibri" w:eastAsia="Calibri" w:hAnsi="Calibri"/>
          <w:i w:val="false"/>
          <w:iCs w:val="false"/>
          <w:sz w:val="24"/>
          <w:szCs w:val="24"/>
        </w:rPr>
        <w:t xml:space="preserve">Grounded theory menuntut komitmen waktu dan sumber daya yang lebih besar dibandingkan analisis tematik konvensional, sehingga pemilihan pendekatan ini perlu dipertimbangkan secara cermat terhadap kerangka waktu tesis Magister 1 tahun yang telah dibahas pada Buku C1 Bab 8 — grounded theory penuh mungkin lebih realistis sebagai riset lanjutan pasca-tesis dibandingkan komponen tesis itu sendiri, kecuali topik riset memang secara khusus menuntut pembangunan teori baru.</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Jika Anda ingin memahami mengapa sebagian kader KBIHU secara konsisten mengambil keputusan merujuk lebih cepat dibandingkan kader lain dalam situasi ambigu yang belum diatur SPO — sebuah fenomena yang belum ada teorinya — grounded theory bisa relevan. Namun jika pertanyaan Anda lebih spesifik dan sudah terpandu kerangka yang ada (misalnya 'apa hambatan implementasi kurikulum baru menurut kerangka RE-AIM'), analisis tematik deduktif jauh lebih efisien untuk tesis satu tahun.</w:t>
      </w:r>
    </w:p>
    <w:p>
      <w:pPr>
        <w:pStyle w:val="Heading2"/>
        <w:spacing w:after="180" w:before="360"/>
      </w:pPr>
      <w:r>
        <w:rPr>
          <w:rFonts w:ascii="Calibri" w:cs="Calibri" w:eastAsia="Calibri" w:hAnsi="Calibri"/>
          <w:b/>
          <w:bCs/>
          <w:color w:val="2E75B6"/>
          <w:sz w:val="26"/>
          <w:szCs w:val="26"/>
        </w:rPr>
        <w:t xml:space="preserve">2.3 Menjaga Rigor dan Kepercayaan (Trustworthiness) dalam Analisis Kualitatif</w:t>
      </w:r>
    </w:p>
    <w:p>
      <w:pPr>
        <w:spacing w:after="200" w:line="300"/>
        <w:jc w:val="both"/>
      </w:pPr>
      <w:r>
        <w:rPr>
          <w:rFonts w:ascii="Calibri" w:cs="Calibri" w:eastAsia="Calibri" w:hAnsi="Calibri"/>
          <w:i w:val="false"/>
          <w:iCs w:val="false"/>
          <w:sz w:val="24"/>
          <w:szCs w:val="24"/>
        </w:rPr>
        <w:t xml:space="preserve">Keempat kriteria berikut adalah standar yang akan ditanyakan penguji dan penelaah jurnal untuk menilai apakah analisis kualitatif Anda benar-benar dapat dipercaya.</w:t>
      </w:r>
    </w:p>
    <w:p>
      <w:pPr>
        <w:spacing w:after="200" w:line="300"/>
        <w:jc w:val="both"/>
      </w:pPr>
      <w:r>
        <w:rPr>
          <w:rFonts w:ascii="Calibri" w:cs="Calibri" w:eastAsia="Calibri" w:hAnsi="Calibri"/>
          <w:i w:val="false"/>
          <w:iCs w:val="false"/>
          <w:sz w:val="24"/>
          <w:szCs w:val="24"/>
        </w:rPr>
        <w:t xml:space="preserve">Riset kualitatif tingkat lanjut menuntut perhatian eksplisit terhadap kriteria trustworthiness yang dikembangkan Lincoln dan Guba: kredibilitas (credibility, melalui triangulasi sumber data dan member checking dengan partisipan), transferabilitas (transferability, melalui deskripsi konteks yang cukup detail agar pembaca dapat menilai relevansi temuan bagi konteks lain), dependabilitas (dependability, melalui audit trail yang mendokumentasikan proses pengambilan keputusan analitik), dan konfirmabilitas (confirmability, melalui refleksivitas peneliti mengenai bagaimana posisi dan pengalaman peneliti — termasuk pengalaman Anda sebagai mantan TKHI — dapat memengaruhi interpretasi data).</w:t>
      </w:r>
    </w:p>
    <w:p>
      <w:pPr>
        <w:spacing w:after="200" w:line="300"/>
        <w:jc w:val="both"/>
      </w:pPr>
      <w:r>
        <w:rPr>
          <w:rFonts w:ascii="Calibri" w:cs="Calibri" w:eastAsia="Calibri" w:hAnsi="Calibri"/>
          <w:i w:val="false"/>
          <w:iCs w:val="false"/>
          <w:sz w:val="24"/>
          <w:szCs w:val="24"/>
        </w:rPr>
        <w:t xml:space="preserve">Refleksivitas peneliti particularly penting bagi Anda sebagai lulusan Fellowship yang meneliti fenomena yang pernah Anda alami langsung sebagai praktisi — kedekatan pengalaman ini adalah kekuatan sekaligus potensi bias yang perlu disadari dan dikelola secara eksplisit dalam laporan riset, bukan diabaikan seolah-olah peneliti sepenuhnya netral tanpa latar belakang pengalaman.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Sebagai bentuk konfirmabilitas, Anda dapat menuliskan dalam tesis: 'Peneliti pernah bertugas sebagai TKHI dan mengalami langsung tekanan implementasi SPO rujukan di lapangan; kedekatan pengalaman ini memungkinkan pemahaman kontekstual yang mendalam, namun juga berpotensi memengaruhi interpretasi data ke arah yang lebih simpatik terhadap kesulitan kader di lapangan — kecenderungan yang coba dikelola melalui member checking dengan partisipan.'</w:t>
      </w:r>
    </w:p>
    <w:p>
      <w:pPr>
        <w:pStyle w:val="Heading2"/>
        <w:spacing w:after="180" w:before="360"/>
      </w:pPr>
      <w:r>
        <w:rPr>
          <w:rFonts w:ascii="Calibri" w:cs="Calibri" w:eastAsia="Calibri" w:hAnsi="Calibri"/>
          <w:b/>
          <w:bCs/>
          <w:color w:val="2E75B6"/>
          <w:sz w:val="26"/>
          <w:szCs w:val="26"/>
        </w:rPr>
        <w:t xml:space="preserve">2.4 Perangkat Lunak Analisis Data Kualitatif (CAQDAS)</w:t>
      </w:r>
    </w:p>
    <w:p>
      <w:pPr>
        <w:spacing w:after="200" w:line="300"/>
        <w:jc w:val="both"/>
      </w:pPr>
      <w:r>
        <w:rPr>
          <w:rFonts w:ascii="Calibri" w:cs="Calibri" w:eastAsia="Calibri" w:hAnsi="Calibri"/>
          <w:i w:val="false"/>
          <w:iCs w:val="false"/>
          <w:sz w:val="24"/>
          <w:szCs w:val="24"/>
        </w:rPr>
        <w:t xml:space="preserve">Perangkat lunak analisis data kualitatif seperti NVivo atau ATLAS.ti dapat membantu mengelola volume data kualitatif yang besar (transkrip wawancara multipel, catatan lapangan), memfasilitasi pengkodean sistematis, dan memvisualisasikan hubungan antar tema. Penting dipahami bahwa perangkat lunak ini adalah alat bantu pengelolaan data, bukan pengganti penilaian interpretatif peneliti — keputusan mengenai makna dan signifikansi tema tetap sepenuhnya berada pada penilaian peneliti, bukan dihasilkan otomatis oleh perangkat lunak.</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Peneliti kebijakan hipotetis menggunakan analisis tematik deduktif yang dipandu kerangka RE-AIM untuk menganalisis wawancara mendalam dengan dua puluh fasilitator KBIHU mengenai pengalaman mereka mengimplementasikan kurikulum manasik kesehatan revisi. Melalui proses pengkodean sistematis dan peninjauan tema berulang, peneliti mengidentifikasi tema kunci mengenai hambatan pada dimensi 'Adoption' yang berkaitan dengan beban administratif tambahan yang dirasakan fasilitator, sebuah temuan yang kemudian ditriangulasi dengan data survei kuantitatif beban kerja fasilitator untuk memperkuat kredibilitas temuan. [DATA: rujuk laporan evaluasi resmi Kemenhaj/Kemenkes terbaru untuk hasil analisis tematik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Jelaskan kapan analisis tematik deduktif lebih tepat digunakan dibandingkan grounded theory dalam konteks riset kebijakan kesehatan haji dengan kerangka waktu terbatas.</w:t>
      </w:r>
    </w:p>
    <w:p>
      <w:pPr>
        <w:spacing w:after="200" w:line="300"/>
        <w:jc w:val="both"/>
      </w:pPr>
      <w:r>
        <w:rPr>
          <w:rFonts w:ascii="Calibri" w:cs="Calibri" w:eastAsia="Calibri" w:hAnsi="Calibri"/>
          <w:i w:val="false"/>
          <w:iCs w:val="false"/>
          <w:sz w:val="24"/>
          <w:szCs w:val="24"/>
        </w:rPr>
        <w:t xml:space="preserve">2. Identifikasi bagaimana pengalaman Anda sebagai mantan TKHI dapat menjadi sumber refleksivitas yang perlu dikelola secara eksplisit ketika Anda meneliti fenomena implementasi kebijakan kesehatan haji di lapangan.</w:t>
      </w:r>
    </w:p>
    <w:p>
      <w:pPr>
        <w:spacing w:after="200" w:line="300"/>
        <w:jc w:val="both"/>
      </w:pPr>
      <w:r>
        <w:rPr>
          <w:rFonts w:ascii="Calibri" w:cs="Calibri" w:eastAsia="Calibri" w:hAnsi="Calibri"/>
          <w:i w:val="false"/>
          <w:iCs w:val="false"/>
          <w:sz w:val="24"/>
          <w:szCs w:val="24"/>
        </w:rPr>
        <w:t xml:space="preserve">3. Rancang strategi triangulasi sumber data untuk memperkuat kredibilitas temuan tematik mengenai hambatan implementasi kurikulum manasik kesehatan di tingkat KBIHU.</w:t>
      </w:r>
    </w:p>
    <w:p>
      <w:r>
        <w:br w:type="page"/>
      </w:r>
    </w:p>
    <w:p>
      <w:pPr>
        <w:pStyle w:val="Heading1"/>
        <w:spacing w:after="240" w:before="480"/>
      </w:pPr>
      <w:r>
        <w:rPr>
          <w:rFonts w:ascii="Calibri" w:cs="Calibri" w:eastAsia="Calibri" w:hAnsi="Calibri"/>
          <w:b/>
          <w:bCs/>
          <w:color w:val="1F4E79"/>
          <w:sz w:val="32"/>
          <w:szCs w:val="32"/>
        </w:rPr>
        <w:t xml:space="preserve">Bab 3. Strategi Publikasi pada Jurnal Bereputasi Internasional</w:t>
      </w:r>
    </w:p>
    <w:p>
      <w:pPr>
        <w:spacing w:after="200" w:line="300"/>
        <w:jc w:val="both"/>
      </w:pPr>
      <w:r>
        <w:rPr>
          <w:rFonts w:ascii="Calibri" w:cs="Calibri" w:eastAsia="Calibri" w:hAnsi="Calibri"/>
          <w:i w:val="false"/>
          <w:iCs w:val="false"/>
          <w:sz w:val="24"/>
          <w:szCs w:val="24"/>
        </w:rPr>
        <w:t xml:space="preserve">Buku C1 Bab 7 memperkenalkan gambaran umum diseminasi akademik. Bab ini memperdalam secara strategis bagaimana riset kebijakan dan pendidikan kesehatan haji dapat dipublikasikan pada jurnal internasional bereputasi, termasuk pertimbangan bidang kajian mass gathering health yang semakin berkembang dan relevan bagi kontribusi riset kesehatan haji Indonesia pada pengetahuan global.</w:t>
      </w:r>
    </w:p>
    <w:p>
      <w:pPr>
        <w:pStyle w:val="Heading2"/>
        <w:spacing w:after="180" w:before="360"/>
      </w:pPr>
      <w:r>
        <w:rPr>
          <w:rFonts w:ascii="Calibri" w:cs="Calibri" w:eastAsia="Calibri" w:hAnsi="Calibri"/>
          <w:b/>
          <w:bCs/>
          <w:color w:val="2E75B6"/>
          <w:sz w:val="26"/>
          <w:szCs w:val="26"/>
        </w:rPr>
        <w:t xml:space="preserve">3.1 Memahami Lanskap Jurnal Mass Gathering Medicine dan Kesehatan Masyarakat Global</w:t>
      </w:r>
    </w:p>
    <w:p>
      <w:pPr>
        <w:spacing w:after="200" w:line="300"/>
        <w:jc w:val="both"/>
      </w:pPr>
      <w:r>
        <w:rPr>
          <w:rFonts w:ascii="Calibri" w:cs="Calibri" w:eastAsia="Calibri" w:hAnsi="Calibri"/>
          <w:i w:val="false"/>
          <w:iCs w:val="false"/>
          <w:sz w:val="24"/>
          <w:szCs w:val="24"/>
        </w:rPr>
        <w:t xml:space="preserve">Bidang mass gathering medicine — kajian mengenai tantangan kesehatan pada peristiwa berkumpulnya massa besar manusia, mencakup peristiwa keagamaan seperti haji dan peristiwa non-keagamaan seperti festival musik atau pertandingan olahraga besar — telah berkembang menjadi bidang kajian tersendiri dengan jurnal-jurnal spesifik maupun bagian khusus (special issue) pada jurnal kesehatan masyarakat dan kedokteran perjalanan (travel medicine) yang lebih luas. Riset evaluasi kebijakan dan kurikulum kesehatan haji Indonesia memiliki nilai kontribusi signifikan bagi bidang ini, mengingat skala penyelenggaraan haji Indonesia yang termasuk terbesar di dunia memberikan basis data dan pengalaman implementasi yang unik dibandingkan negara pengirim jemaah lain.</w:t>
      </w:r>
    </w:p>
    <w:p>
      <w:pPr>
        <w:spacing w:after="200" w:line="300"/>
        <w:jc w:val="both"/>
      </w:pPr>
      <w:r>
        <w:rPr>
          <w:rFonts w:ascii="Calibri" w:cs="Calibri" w:eastAsia="Calibri" w:hAnsi="Calibri"/>
          <w:i w:val="false"/>
          <w:iCs w:val="false"/>
          <w:sz w:val="24"/>
          <w:szCs w:val="24"/>
        </w:rPr>
        <w:t xml:space="preserve">Sebagai peneliti dengan pengalaman lapangan otentik sebagai TKHI, Anda memiliki posisi istimewa untuk berkontribusi pada bidang kajian ini dengan perspektif implementasi lapangan yang jarang dimiliki peneliti akademik murni tanpa pengalaman klinis langsung di lapangan haji.</w:t>
      </w:r>
    </w:p>
    <w:p>
      <w:pPr>
        <w:pStyle w:val="Heading2"/>
        <w:spacing w:after="180" w:before="360"/>
      </w:pPr>
      <w:r>
        <w:rPr>
          <w:rFonts w:ascii="Calibri" w:cs="Calibri" w:eastAsia="Calibri" w:hAnsi="Calibri"/>
          <w:b/>
          <w:bCs/>
          <w:color w:val="2E75B6"/>
          <w:sz w:val="26"/>
          <w:szCs w:val="26"/>
        </w:rPr>
        <w:t xml:space="preserve">3.2 Menyusun Manuskrip yang Memenuhi Standar Internasional</w:t>
      </w:r>
    </w:p>
    <w:p>
      <w:pPr>
        <w:spacing w:after="200" w:line="300"/>
        <w:jc w:val="both"/>
      </w:pPr>
      <w:r>
        <w:rPr>
          <w:rFonts w:ascii="Calibri" w:cs="Calibri" w:eastAsia="Calibri" w:hAnsi="Calibri"/>
          <w:i w:val="false"/>
          <w:iCs w:val="false"/>
          <w:sz w:val="24"/>
          <w:szCs w:val="24"/>
        </w:rPr>
        <w:t xml:space="preserve">Kedua bagian manuskrip berikut adalah yang paling sering menjadi sasaran kritik penelaah internasional — memperkuat keduanya sejak draf pertama akan menghemat banyak putaran revisi.</w:t>
      </w:r>
    </w:p>
    <w:p>
      <w:pPr>
        <w:spacing w:after="200" w:line="300"/>
        <w:jc w:val="both"/>
      </w:pPr>
      <w:r>
        <w:rPr>
          <w:rFonts w:ascii="Calibri" w:cs="Calibri" w:eastAsia="Calibri" w:hAnsi="Calibri"/>
          <w:i w:val="false"/>
          <w:iCs w:val="false"/>
          <w:sz w:val="24"/>
          <w:szCs w:val="24"/>
        </w:rPr>
        <w:t xml:space="preserve">Manuskrip untuk jurnal internasional menuntut kejelasan mengenai kontribusi novel riset Anda dalam konteks literatur global, bukan hanya literatur domestik Indonesia — bagian pendahuluan perlu secara eksplisit memposisikan temuan riset kebijakan kesehatan haji Indonesia dalam kerangka pengetahuan mass gathering health yang lebih luas, menunjukkan bagaimana temuan Anda relevan dan dapat memperkaya pemahaman global mengenai tantangan kesehatan pada peristiwa massal keagamaan, bukan sekadar laporan kebijakan domestik yang dituliskan ulang dalam bahasa Inggris.</w:t>
      </w:r>
    </w:p>
    <w:p>
      <w:pPr>
        <w:spacing w:after="200" w:line="300"/>
        <w:jc w:val="both"/>
      </w:pPr>
      <w:r>
        <w:rPr>
          <w:rFonts w:ascii="Calibri" w:cs="Calibri" w:eastAsia="Calibri" w:hAnsi="Calibri"/>
          <w:i w:val="false"/>
          <w:iCs w:val="false"/>
          <w:sz w:val="24"/>
          <w:szCs w:val="24"/>
        </w:rPr>
        <w:t xml:space="preserve">Bagian metodologi perlu disusun dengan presisi yang memenuhi standar pelaporan internasional yang relevan dengan desain riset yang digunakan — misalnya pedoman STROBE untuk studi observasional atau pedoman COREQ untuk riset kualitatif — untuk memastikan transparansi metodologis yang memudahkan penelaah dan pembaca internasional menilai kualitas riset Anda.</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Alih-alih membuka pendahuluan dengan 'Kemenhaj Indonesia menyelenggarakan manasik kesehatan setiap tahun...', manuskrip internasional yang lebih kuat akan membuka dengan 'Mass gathering religius berskala jutaan peserta menghadirkan tantangan kesehatan unik yang telah didokumentasikan di berbagai konteks global; studi ini berkontribusi pada pemahaman tersebut melalui kasus penyelenggaraan haji Indonesia, mass gathering keagamaan tahunan terbesar di dunia...'</w:t>
      </w:r>
    </w:p>
    <w:p>
      <w:pPr>
        <w:pStyle w:val="Heading2"/>
        <w:spacing w:after="180" w:before="360"/>
      </w:pPr>
      <w:r>
        <w:rPr>
          <w:rFonts w:ascii="Calibri" w:cs="Calibri" w:eastAsia="Calibri" w:hAnsi="Calibri"/>
          <w:b/>
          <w:bCs/>
          <w:color w:val="2E75B6"/>
          <w:sz w:val="26"/>
          <w:szCs w:val="26"/>
        </w:rPr>
        <w:t xml:space="preserve">3.3 Memilih Jurnal yang Tepat dan Menghindari Predatory Journal</w:t>
      </w:r>
    </w:p>
    <w:p>
      <w:pPr>
        <w:spacing w:after="200" w:line="300"/>
        <w:jc w:val="both"/>
      </w:pPr>
      <w:r>
        <w:rPr>
          <w:rFonts w:ascii="Calibri" w:cs="Calibri" w:eastAsia="Calibri" w:hAnsi="Calibri"/>
          <w:i w:val="false"/>
          <w:iCs w:val="false"/>
          <w:sz w:val="24"/>
          <w:szCs w:val="24"/>
        </w:rPr>
        <w:t xml:space="preserve">Di tengah tekanan waktu menyelesaikan publikasi, kewaspadaan berikut wajib dijaga agar upaya riset Anda tidak sia-sia diterbitkan di tempat yang tidak kredibel.</w:t>
      </w:r>
    </w:p>
    <w:p>
      <w:pPr>
        <w:spacing w:after="200" w:line="300"/>
        <w:jc w:val="both"/>
      </w:pPr>
      <w:r>
        <w:rPr>
          <w:rFonts w:ascii="Calibri" w:cs="Calibri" w:eastAsia="Calibri" w:hAnsi="Calibri"/>
          <w:i w:val="false"/>
          <w:iCs w:val="false"/>
          <w:sz w:val="24"/>
          <w:szCs w:val="24"/>
        </w:rPr>
        <w:t xml:space="preserve">Pemilihan jurnal yang tepat mempertimbangkan kesesuaian ruang lingkup, faktor dampak (impact factor) atau metrik sitasi lain, kecepatan proses telaah sejawat, dan yang terpenting, legitimasi penerbit jurnal. Maraknya predatory journal — jurnal yang mengklaim proses telaah sejawat namun sesungguhnya hanya mengejar biaya publikasi tanpa kontrol kualitas memadai — menuntut kewaspadaan khusus, terutama bagi peneliti yang berada di bawah tekanan waktu menyelesaikan publikasi sebagai syarat kelulusan.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Indikator predatory journal yang perlu diwaspadai mencakup janji waktu telaah yang tidak realistis singkat (misalnya 'diterima dalam 3 hari'), permintaan biaya publikasi yang tidak transparan sejak awal, cakupan bidang kajian jurnal yang sangat luas dan tidak spesifik (mengklaim menerima segala topik dari kedokteran hingga teknik), serta ketiadaan indeksasi pada basis data bereputasi seperti Scopus atau Web of Science.</w:t>
      </w:r>
    </w:p>
    <w:p>
      <w:pPr>
        <w:pStyle w:val="Heading2"/>
        <w:spacing w:after="180" w:before="360"/>
      </w:pPr>
      <w:r>
        <w:rPr>
          <w:rFonts w:ascii="Calibri" w:cs="Calibri" w:eastAsia="Calibri" w:hAnsi="Calibri"/>
          <w:b/>
          <w:bCs/>
          <w:color w:val="2E75B6"/>
          <w:sz w:val="26"/>
          <w:szCs w:val="26"/>
        </w:rPr>
        <w:t xml:space="preserve">3.4 Merespons Proses Telaah Sejawat (Peer Review) secara Konstruktif</w:t>
      </w:r>
    </w:p>
    <w:p>
      <w:pPr>
        <w:spacing w:after="200" w:line="300"/>
        <w:jc w:val="both"/>
      </w:pPr>
      <w:r>
        <w:rPr>
          <w:rFonts w:ascii="Calibri" w:cs="Calibri" w:eastAsia="Calibri" w:hAnsi="Calibri"/>
          <w:i w:val="false"/>
          <w:iCs w:val="false"/>
          <w:sz w:val="24"/>
          <w:szCs w:val="24"/>
        </w:rPr>
        <w:t xml:space="preserve">Proses telaah sejawat jurnal internasional seringkali menuntut revisi substansial, termasuk pertanyaan kritis mengenai generalisabilitas temuan riset dari konteks Indonesia terhadap konteks global — pertanyaan yang perlu direspons dengan argumentasi yang jujur mengenai batasan generalisabilitas sembari tetap menegaskan nilai kontribusi kontekstual spesifik riset Anda. Merespons komentar penelaah secara konstruktif, termasuk kesediaan melakukan analisis tambahan atau revisi kerangka argumentasi jika kritik penelaah valid, adalah keterampilan profesional penting yang membedakan peneliti matang dari peneliti pemula yang cenderung defensif terhadap kritik.</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Seorang lulusan jalur RPL Fellowship hipotetis mengirimkan manuskrip evaluasi dampak revisi kurikulum manasik kesehatan ke jurnal travel medicine internasional. Penelaah sejawat mempertanyakan generalisabilitas temuan mengingat riset hanya mencakup dua embarkasi di Indonesia. Peneliti merespons dengan menambahkan bagian diskusi yang secara eksplisit membahas faktor kontekstual Indonesia (skala penyelenggaraan haji, sistem KBIHU) yang membuat temuan tetap relevan bagi negara pengirim jemaah lain dengan konteks serupa, sembari secara jujur mengakui keterbatasan generalisabilitas langsung terhadap konteks mass gathering non-keagamaan. [DATA: rujuk laporan evaluasi resmi Kemenhaj/Kemenkes terbaru untuk hasil riset aktual yang dipublikasikan].</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Identifikasi satu bidang kajian atau jurnal internasional (mass gathering medicine, kesehatan masyarakat global, atau kedokteran perjalanan) yang paling relevan bagi topik tesis Anda, dan jelaskan alasannya.</w:t>
      </w:r>
    </w:p>
    <w:p>
      <w:pPr>
        <w:spacing w:after="200" w:line="300"/>
        <w:jc w:val="both"/>
      </w:pPr>
      <w:r>
        <w:rPr>
          <w:rFonts w:ascii="Calibri" w:cs="Calibri" w:eastAsia="Calibri" w:hAnsi="Calibri"/>
          <w:i w:val="false"/>
          <w:iCs w:val="false"/>
          <w:sz w:val="24"/>
          <w:szCs w:val="24"/>
        </w:rPr>
        <w:t xml:space="preserve">2. Susun tiga indikator yang akan Anda periksa untuk memastikan suatu jurnal bukan predatory journal sebelum mengirimkan manuskrip.</w:t>
      </w:r>
    </w:p>
    <w:p>
      <w:pPr>
        <w:spacing w:after="200" w:line="300"/>
        <w:jc w:val="both"/>
      </w:pPr>
      <w:r>
        <w:rPr>
          <w:rFonts w:ascii="Calibri" w:cs="Calibri" w:eastAsia="Calibri" w:hAnsi="Calibri"/>
          <w:i w:val="false"/>
          <w:iCs w:val="false"/>
          <w:sz w:val="24"/>
          <w:szCs w:val="24"/>
        </w:rPr>
        <w:t xml:space="preserve">3. Rancang argumentasi singkat mengenai bagaimana temuan riset kebijakan kesehatan haji Indonesia Anda tetap relevan secara global meski konteksnya spesifik Indonesia, mengantisipasi pertanyaan generalisabilitas dari penelaah internasional.</w:t>
      </w:r>
    </w:p>
    <w:p>
      <w:r>
        <w:br w:type="page"/>
      </w:r>
    </w:p>
    <w:p>
      <w:pPr>
        <w:pStyle w:val="Heading1"/>
        <w:spacing w:after="240" w:before="480"/>
      </w:pPr>
      <w:r>
        <w:rPr>
          <w:rFonts w:ascii="Calibri" w:cs="Calibri" w:eastAsia="Calibri" w:hAnsi="Calibri"/>
          <w:b/>
          <w:bCs/>
          <w:color w:val="1F4E79"/>
          <w:sz w:val="32"/>
          <w:szCs w:val="32"/>
        </w:rPr>
        <w:t xml:space="preserve">Bab 4. Etika Publikasi dan Integritas Akademik</w:t>
      </w:r>
    </w:p>
    <w:p>
      <w:pPr>
        <w:spacing w:after="200" w:line="300"/>
        <w:jc w:val="both"/>
      </w:pPr>
      <w:r>
        <w:rPr>
          <w:rFonts w:ascii="Calibri" w:cs="Calibri" w:eastAsia="Calibri" w:hAnsi="Calibri"/>
          <w:i w:val="false"/>
          <w:iCs w:val="false"/>
          <w:sz w:val="24"/>
          <w:szCs w:val="24"/>
        </w:rPr>
        <w:t xml:space="preserve">Bab ini membahas prinsip etika publikasi dan integritas akademik yang menjadi fondasi kredibilitas riset kebijakan kesehatan haji, sekaligus melindungi Anda sebagai peneliti dari pelanggaran yang, meski kadang tidak disengaja, dapat merusak reputasi akademik dan kredibilitas rekomendasi kebijakan yang Anda hasilkan.</w:t>
      </w:r>
    </w:p>
    <w:p>
      <w:pPr>
        <w:pStyle w:val="Heading2"/>
        <w:spacing w:after="180" w:before="360"/>
      </w:pPr>
      <w:r>
        <w:rPr>
          <w:rFonts w:ascii="Calibri" w:cs="Calibri" w:eastAsia="Calibri" w:hAnsi="Calibri"/>
          <w:b/>
          <w:bCs/>
          <w:color w:val="2E75B6"/>
          <w:sz w:val="26"/>
          <w:szCs w:val="26"/>
        </w:rPr>
        <w:t xml:space="preserve">4.1 Kepengarangan (Authorship) yang Bertanggung Jawab</w:t>
      </w:r>
    </w:p>
    <w:p>
      <w:pPr>
        <w:spacing w:after="200" w:line="300"/>
        <w:jc w:val="both"/>
      </w:pPr>
      <w:r>
        <w:rPr>
          <w:rFonts w:ascii="Calibri" w:cs="Calibri" w:eastAsia="Calibri" w:hAnsi="Calibri"/>
          <w:i w:val="false"/>
          <w:iCs w:val="false"/>
          <w:sz w:val="24"/>
          <w:szCs w:val="24"/>
        </w:rPr>
        <w:t xml:space="preserve">Sebelum kolaborasi riset kebijakan Anda dengan Kemenhaj atau Kemenkes dimulai, kriteria berikut perlu disepakati bersama sejak awal untuk mencegah perselisihan di kemudian hari.</w:t>
      </w:r>
    </w:p>
    <w:p>
      <w:pPr>
        <w:spacing w:after="200" w:line="300"/>
        <w:jc w:val="both"/>
      </w:pPr>
      <w:r>
        <w:rPr>
          <w:rFonts w:ascii="Calibri" w:cs="Calibri" w:eastAsia="Calibri" w:hAnsi="Calibri"/>
          <w:i w:val="false"/>
          <w:iCs w:val="false"/>
          <w:sz w:val="24"/>
          <w:szCs w:val="24"/>
        </w:rPr>
        <w:t xml:space="preserve">Kriteria kepengarangan yang diakui secara internasional, sebagaimana dirumuskan International Committee of Medical Journal Editors (ICMJE), menuntut kontribusi substansial pada konsepsi atau desain riset, pengumpulan atau analisis serta interpretasi data, penyusunan draf naskah atau revisi substansial, persetujuan akhir versi yang akan dipublikasikan, dan kesediaan bertanggung jawab atas akurasi seluruh bagian karya. Praktik yang perlu dihindari mencakup guest authorship (mencantumkan nama tanpa kontribusi substansial, misalnya karena hubungan hierarkis atau politis) dan ghost authorship (kontributor substansial yang tidak dicantumkan namanya).</w:t>
      </w:r>
    </w:p>
    <w:p>
      <w:pPr>
        <w:spacing w:after="200" w:line="300"/>
        <w:jc w:val="both"/>
      </w:pPr>
      <w:r>
        <w:rPr>
          <w:rFonts w:ascii="Calibri" w:cs="Calibri" w:eastAsia="Calibri" w:hAnsi="Calibri"/>
          <w:i w:val="false"/>
          <w:iCs w:val="false"/>
          <w:sz w:val="24"/>
          <w:szCs w:val="24"/>
        </w:rPr>
        <w:t xml:space="preserve">Dalam konteks riset kebijakan kesehatan haji yang seringkali melibatkan kolaborasi dengan pemangku kebijakan Kemenhaj atau Kemenkes sebagaimana dibahas pada Buku C1 Bab 6, kejelasan kriteria kepengarangan sejak awal kolaborasi penting untuk mencegah perselisihan di kemudian hari mengenai siapa yang berhak dicantumkan sebagai penulis versus yang cukup diakui melalui ucapan terima kasih (acknowledgment).</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Seorang kepala dinas yang memberi izin akses data namun tidak terlibat dalam desain riset, analisis, atau penulisan naskah semestinya diakui melalui ucapan terima kasih, bukan dicantumkan sebagai salah satu penulis — meski secara hierarkis mungkin ada tekanan informal untuk mencantumkan namanya.</w:t>
      </w:r>
    </w:p>
    <w:p>
      <w:pPr>
        <w:pStyle w:val="Heading2"/>
        <w:spacing w:after="180" w:before="360"/>
      </w:pPr>
      <w:r>
        <w:rPr>
          <w:rFonts w:ascii="Calibri" w:cs="Calibri" w:eastAsia="Calibri" w:hAnsi="Calibri"/>
          <w:b/>
          <w:bCs/>
          <w:color w:val="2E75B6"/>
          <w:sz w:val="26"/>
          <w:szCs w:val="26"/>
        </w:rPr>
        <w:t xml:space="preserve">4.2 Menghindari Plagiarisme dan Self-Plagiarism</w:t>
      </w:r>
    </w:p>
    <w:p>
      <w:pPr>
        <w:spacing w:after="200" w:line="300"/>
        <w:jc w:val="both"/>
      </w:pPr>
      <w:r>
        <w:rPr>
          <w:rFonts w:ascii="Calibri" w:cs="Calibri" w:eastAsia="Calibri" w:hAnsi="Calibri"/>
          <w:i w:val="false"/>
          <w:iCs w:val="false"/>
          <w:sz w:val="24"/>
          <w:szCs w:val="24"/>
        </w:rPr>
        <w:t xml:space="preserve">Plagiarisme — menggunakan kata-kata, ide, atau data orang lain tanpa atribusi yang tepat — adalah pelanggaran integritas akademik yang paling mendasar dan paling mudah dideteksi oleh perangkat lunak deteksi kesamaan teks yang kini digunakan hampir seluruh jurnal bereputasi. Kurang dipahami secara luas adalah konsep self-plagiarism (duplikasi publikasi) — menerbitkan data atau temuan yang sama pada lebih dari satu publikasi tanpa pengungkapan yang jelas, misalnya menerbitkan laporan evaluasi kebijakan yang sama sebagai artikel jurnal ilmiah dan sebagai bab dalam publikasi lain tanpa mengungkapkan tumpang tindih tersebut kepada kedua editor.</w:t>
      </w:r>
    </w:p>
    <w:p>
      <w:pPr>
        <w:spacing w:after="200" w:line="300"/>
        <w:jc w:val="both"/>
      </w:pPr>
      <w:r>
        <w:rPr>
          <w:rFonts w:ascii="Calibri" w:cs="Calibri" w:eastAsia="Calibri" w:hAnsi="Calibri"/>
          <w:i w:val="false"/>
          <w:iCs w:val="false"/>
          <w:sz w:val="24"/>
          <w:szCs w:val="24"/>
        </w:rPr>
        <w:t xml:space="preserve">Konteks khusus yang perlu diperhatikan adalah hubungan antara tesis Magister Anda dan publikasi jurnal yang dihasilkan darinya — praktik yang diterima secara umum adalah mengungkapkan secara transparan kepada editor jurnal bahwa manuskrip berasal dari tesis, dan memastikan manuskrip jurnal bukan sekadar salinan identik tesis melainkan telah disesuaikan formatnya sesuai standar artikel ilmiah.</w:t>
      </w:r>
    </w:p>
    <w:p>
      <w:pPr>
        <w:pStyle w:val="Heading2"/>
        <w:spacing w:after="180" w:before="360"/>
      </w:pPr>
      <w:r>
        <w:rPr>
          <w:rFonts w:ascii="Calibri" w:cs="Calibri" w:eastAsia="Calibri" w:hAnsi="Calibri"/>
          <w:b/>
          <w:bCs/>
          <w:color w:val="2E75B6"/>
          <w:sz w:val="26"/>
          <w:szCs w:val="26"/>
        </w:rPr>
        <w:t xml:space="preserve">4.3 Integritas Data: Dari Fabrikasi hingga Questionable Research Practices</w:t>
      </w:r>
    </w:p>
    <w:p>
      <w:pPr>
        <w:spacing w:after="200" w:line="300"/>
        <w:jc w:val="both"/>
      </w:pPr>
      <w:r>
        <w:rPr>
          <w:rFonts w:ascii="Calibri" w:cs="Calibri" w:eastAsia="Calibri" w:hAnsi="Calibri"/>
          <w:i w:val="false"/>
          <w:iCs w:val="false"/>
          <w:sz w:val="24"/>
          <w:szCs w:val="24"/>
        </w:rPr>
        <w:t xml:space="preserve">Ketiga jenis pelanggaran berikut memiliki tingkat keseriusan berbeda, namun ketiganya sama-sama merusak kepercayaan terhadap riset kebijakan yang menyangkut keselamatan ratusan ribu jemaah.</w:t>
      </w:r>
    </w:p>
    <w:p>
      <w:pPr>
        <w:pStyle w:val="Heading3"/>
        <w:spacing w:after="140" w:before="280"/>
      </w:pPr>
      <w:r>
        <w:rPr>
          <w:rFonts w:ascii="Calibri" w:cs="Calibri" w:eastAsia="Calibri" w:hAnsi="Calibri"/>
          <w:b/>
          <w:bCs/>
          <w:i/>
          <w:iCs/>
          <w:color w:val="2E75B6"/>
          <w:sz w:val="24"/>
          <w:szCs w:val="24"/>
        </w:rPr>
        <w:t xml:space="preserve">4.3.1 Fabrikasi dan Falsifikasi</w:t>
      </w:r>
    </w:p>
    <w:p>
      <w:pPr>
        <w:spacing w:after="200" w:line="300"/>
        <w:jc w:val="both"/>
      </w:pPr>
      <w:r>
        <w:rPr>
          <w:rFonts w:ascii="Calibri" w:cs="Calibri" w:eastAsia="Calibri" w:hAnsi="Calibri"/>
          <w:i w:val="false"/>
          <w:iCs w:val="false"/>
          <w:sz w:val="24"/>
          <w:szCs w:val="24"/>
        </w:rPr>
        <w:t xml:space="preserve">Fabrikasi berarti mengarang data yang tidak pernah dikumpulkan; falsifikasi berarti memanipulasi data atau hasil. Keduanya secara tegas dilarang dan sejalan dengan prinsip yang ditekankan berulang kali dalam seri buku Jalur C ini: ketika data resmi belum tersedia, peneliti harus secara eksplisit menyatakan keterbatasan tersebut menggunakan notasi [DATA: rujuk laporan resmi], bukan mengarang angka untuk mengisi kekosongan.</w:t>
      </w:r>
    </w:p>
    <w:p>
      <w:pPr>
        <w:pStyle w:val="Heading3"/>
        <w:spacing w:after="140" w:before="280"/>
      </w:pPr>
      <w:r>
        <w:rPr>
          <w:rFonts w:ascii="Calibri" w:cs="Calibri" w:eastAsia="Calibri" w:hAnsi="Calibri"/>
          <w:b/>
          <w:bCs/>
          <w:i/>
          <w:iCs/>
          <w:color w:val="2E75B6"/>
          <w:sz w:val="24"/>
          <w:szCs w:val="24"/>
        </w:rPr>
        <w:t xml:space="preserve">4.3.2 Questionable Research Practices</w:t>
      </w:r>
    </w:p>
    <w:p>
      <w:pPr>
        <w:spacing w:after="200" w:line="300"/>
        <w:jc w:val="both"/>
      </w:pPr>
      <w:r>
        <w:rPr>
          <w:rFonts w:ascii="Calibri" w:cs="Calibri" w:eastAsia="Calibri" w:hAnsi="Calibri"/>
          <w:i w:val="false"/>
          <w:iCs w:val="false"/>
          <w:sz w:val="24"/>
          <w:szCs w:val="24"/>
        </w:rPr>
        <w:t xml:space="preserve">Selain dua pelanggaran berat di atas, terdapat praktik yang lebih halus namun tetap merusak integritas riset, seperti p-hacking (mencoba berbagai analisis hingga menemukan hasil signifikan secara statistik tanpa pra-registrasi hipotesis), HARKing (menyusun hipotesis setelah mengetahui hasil, namun menuliskannya seolah-olah hipotesis dirumuskan sebelum analisis), dan pelaporan selektif hasil yang hanya menonjolkan temuan positif sementara menyembunyikan temuan yang tidak mendukung narasi yang diinginkan.</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Seorang peneliti yang mencoba sepuluh cara berbeda memotong data usia jemaah hingga menemukan satu cara yang menghasilkan hasil signifikan secara statistik, lalu hanya melaporkan cara itu seolah-olah itu rencana analisis sejak awal, adalah contoh p-hacking yang merusak integritas kesimpulan riset.</w:t>
      </w:r>
    </w:p>
    <w:p>
      <w:pPr>
        <w:pStyle w:val="Heading2"/>
        <w:spacing w:after="180" w:before="360"/>
      </w:pPr>
      <w:r>
        <w:rPr>
          <w:rFonts w:ascii="Calibri" w:cs="Calibri" w:eastAsia="Calibri" w:hAnsi="Calibri"/>
          <w:b/>
          <w:bCs/>
          <w:color w:val="2E75B6"/>
          <w:sz w:val="26"/>
          <w:szCs w:val="26"/>
        </w:rPr>
        <w:t xml:space="preserve">4.4 Konflik Kepentingan dalam Riset Kebijakan</w:t>
      </w:r>
    </w:p>
    <w:p>
      <w:pPr>
        <w:spacing w:after="200" w:line="300"/>
        <w:jc w:val="both"/>
      </w:pPr>
      <w:r>
        <w:rPr>
          <w:rFonts w:ascii="Calibri" w:cs="Calibri" w:eastAsia="Calibri" w:hAnsi="Calibri"/>
          <w:i w:val="false"/>
          <w:iCs w:val="false"/>
          <w:sz w:val="24"/>
          <w:szCs w:val="24"/>
        </w:rPr>
        <w:t xml:space="preserve">Riset kebijakan kesehatan haji yang melibatkan kolaborasi dengan Kemenhaj, Kemenkes, atau lembaga penyelenggara ibadah haji lainnya berpotensi menghadirkan konflik kepentingan yang perlu diungkapkan secara transparan — misalnya, jika peneliti memiliki hubungan kerja atau kepentingan finansial dengan pihak yang kebijakannya sedang dievaluasi. Pengungkapan konflik kepentingan bukan berarti riset tersebut otomatis tidak valid, melainkan memungkinkan pembaca dan penelaah menilai potensi bias secara transparan dan menilai kredibilitas kesimpulan riset dengan mempertimbangkan konteks tersebut.</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Seorang peneliti hipotetis diminta oleh atasannya di Kemenhaj untuk mencantumkan nama atasan tersebut sebagai penulis pertama pada publikasi hasil evaluasi kebijakan, meski atasan tersebut tidak berkontribusi pada desain riset, analisis data, atau penyusunan naskah. Peneliti, dengan merujuk kriteria kepengarangan ICMJE, menjelaskan secara hormat bahwa kontribusi tersebut lebih sesuai diakui melalui ucapan terima kasih dibandingkan status kepengarangan, dan mengusulkan keterlibatan substansial atasan pada riset lanjutan sebagai alternatif jika ingin memenuhi kriteria kepengarangan di masa mendatang.</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Jelaskan perbedaan antara guest authorship dan ghost authorship, dan diskusikan mengapa keduanya sama-sama melanggar prinsip kepengarangan yang bertanggung jawab.</w:t>
      </w:r>
    </w:p>
    <w:p>
      <w:pPr>
        <w:spacing w:after="200" w:line="300"/>
        <w:jc w:val="both"/>
      </w:pPr>
      <w:r>
        <w:rPr>
          <w:rFonts w:ascii="Calibri" w:cs="Calibri" w:eastAsia="Calibri" w:hAnsi="Calibri"/>
          <w:i w:val="false"/>
          <w:iCs w:val="false"/>
          <w:sz w:val="24"/>
          <w:szCs w:val="24"/>
        </w:rPr>
        <w:t xml:space="preserve">2. Identifikasi bagaimana Anda akan menangani situasi di mana atasan institusional meminta pencantuman nama sebagai penulis tanpa kontribusi substansial sesuai kriteria ICMJE, dengan tetap menjaga hubungan profesional yang baik.</w:t>
      </w:r>
    </w:p>
    <w:p>
      <w:pPr>
        <w:spacing w:after="200" w:line="300"/>
        <w:jc w:val="both"/>
      </w:pPr>
      <w:r>
        <w:rPr>
          <w:rFonts w:ascii="Calibri" w:cs="Calibri" w:eastAsia="Calibri" w:hAnsi="Calibri"/>
          <w:i w:val="false"/>
          <w:iCs w:val="false"/>
          <w:sz w:val="24"/>
          <w:szCs w:val="24"/>
        </w:rPr>
        <w:t xml:space="preserve">3. Jelaskan mengapa fabrikasi data dalam riset kebijakan kesehatan haji memiliki konsekuensi etis yang melampaui pelanggaran akademik formal semata, merujuk pada dampak potensial terhadap keselamatan jemaah.</w:t>
      </w:r>
    </w:p>
    <w:p>
      <w:r>
        <w:br w:type="page"/>
      </w:r>
    </w:p>
    <w:p>
      <w:pPr>
        <w:pStyle w:val="Heading1"/>
        <w:spacing w:after="240" w:before="480"/>
      </w:pPr>
      <w:r>
        <w:rPr>
          <w:rFonts w:ascii="Calibri" w:cs="Calibri" w:eastAsia="Calibri" w:hAnsi="Calibri"/>
          <w:b/>
          <w:bCs/>
          <w:color w:val="1F4E79"/>
          <w:sz w:val="32"/>
          <w:szCs w:val="32"/>
        </w:rPr>
        <w:t xml:space="preserve">Bab 5. Diseminasi Hasil Riset kepada Pemangku Kebijakan dan Publik</w:t>
      </w:r>
    </w:p>
    <w:p>
      <w:pPr>
        <w:spacing w:after="200" w:line="300"/>
        <w:jc w:val="both"/>
      </w:pPr>
      <w:r>
        <w:rPr>
          <w:rFonts w:ascii="Calibri" w:cs="Calibri" w:eastAsia="Calibri" w:hAnsi="Calibri"/>
          <w:i w:val="false"/>
          <w:iCs w:val="false"/>
          <w:sz w:val="24"/>
          <w:szCs w:val="24"/>
        </w:rPr>
        <w:t xml:space="preserve">Bab penutup Buku C4, sekaligus penutup keseluruhan seri Buku Jalur C, mengintegrasikan seluruh kompetensi metodologi riset dan publikasi yang telah dibahas dengan kompetensi diseminasi kebijakan yang diperkenalkan pada Buku C1 Bab 6 dan 7, memberikan panduan komprehensif memastikan riset Anda mencapai dampak nyata melampaui publikasi akademik semata.</w:t>
      </w:r>
    </w:p>
    <w:p>
      <w:pPr>
        <w:pStyle w:val="Heading2"/>
        <w:spacing w:after="180" w:before="360"/>
      </w:pPr>
      <w:r>
        <w:rPr>
          <w:rFonts w:ascii="Calibri" w:cs="Calibri" w:eastAsia="Calibri" w:hAnsi="Calibri"/>
          <w:b/>
          <w:bCs/>
          <w:color w:val="2E75B6"/>
          <w:sz w:val="26"/>
          <w:szCs w:val="26"/>
        </w:rPr>
        <w:t xml:space="preserve">5.1 Merancang Strategi Diseminasi Sejak Tahap Perencanaan Riset</w:t>
      </w:r>
    </w:p>
    <w:p>
      <w:pPr>
        <w:spacing w:after="200" w:line="300"/>
        <w:jc w:val="both"/>
      </w:pPr>
      <w:r>
        <w:rPr>
          <w:rFonts w:ascii="Calibri" w:cs="Calibri" w:eastAsia="Calibri" w:hAnsi="Calibri"/>
          <w:i w:val="false"/>
          <w:iCs w:val="false"/>
          <w:sz w:val="24"/>
          <w:szCs w:val="24"/>
        </w:rPr>
        <w:t xml:space="preserve">Kesalahan berikut adalah yang paling sering menyebabkan riset baik justru tidak berdampak — dan sub-bab ini menawarkan cara menghindarinya sejak hari pertama riset dimulai.</w:t>
      </w:r>
    </w:p>
    <w:p>
      <w:pPr>
        <w:spacing w:after="200" w:line="300"/>
        <w:jc w:val="both"/>
      </w:pPr>
      <w:r>
        <w:rPr>
          <w:rFonts w:ascii="Calibri" w:cs="Calibri" w:eastAsia="Calibri" w:hAnsi="Calibri"/>
          <w:i w:val="false"/>
          <w:iCs w:val="false"/>
          <w:sz w:val="24"/>
          <w:szCs w:val="24"/>
        </w:rPr>
        <w:t xml:space="preserve">Kesalahan umum peneliti pemula adalah memikirkan strategi diseminasi hanya setelah riset selesai dilakukan, padahal strategi diseminasi yang efektif idealnya dirancang sejak tahap perencanaan riset — menentukan sejak awal audiens kunci yang ingin dijangkau (Kemenhaj, Kemenkes, komunitas akademik mass gathering health, publik luas), saluran diseminasi yang sesuai untuk masing-masing audiens, dan bagaimana desain riset itu sendiri dapat disesuaikan agar menghasilkan temuan yang relevan dan dapat ditindaklanjuti oleh audiens sasaran tersebut.</w:t>
      </w:r>
    </w:p>
    <w:p>
      <w:pPr>
        <w:spacing w:after="200" w:line="300"/>
        <w:jc w:val="both"/>
      </w:pPr>
      <w:r>
        <w:rPr>
          <w:rFonts w:ascii="Calibri" w:cs="Calibri" w:eastAsia="Calibri" w:hAnsi="Calibri"/>
          <w:i w:val="false"/>
          <w:iCs w:val="false"/>
          <w:sz w:val="24"/>
          <w:szCs w:val="24"/>
        </w:rPr>
        <w:t xml:space="preserve">Pendekatan co-design yang dibahas pada Buku C1 Bab 6 — melibatkan pemangku kebijakan sejak tahap perumusan pertanyaan riset — juga berfungsi sebagai strategi diseminasi implisit, karena pemangku kebijakan yang terlibat sejak awal riset cenderung lebih reseptif dan lebih mungkin menindaklanjuti rekomendasi yang dihasilkan dibandingkan riset yang sepenuhnya terpisah dari proses kebijakan hingga tahap akhir.</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Seorang peneliti yang sejak awal merencanakan tiga audiens (Kemenhaj, jurnal mass gathering health, dan komunitas KBIHU) akan merancang instrumen pengumpulan data yang menghasilkan angka-angka spesifik yang mudah dikutip dalam ketiga format tersebut — berbeda dengan peneliti yang baru memikirkan diseminasi setelah data terkumpul dan menyadari datanya tidak dalam bentuk yang mudah disederhanakan untuk audiens non-akademik.</w:t>
      </w:r>
    </w:p>
    <w:p>
      <w:pPr>
        <w:pStyle w:val="Heading2"/>
        <w:spacing w:after="180" w:before="360"/>
      </w:pPr>
      <w:r>
        <w:rPr>
          <w:rFonts w:ascii="Calibri" w:cs="Calibri" w:eastAsia="Calibri" w:hAnsi="Calibri"/>
          <w:b/>
          <w:bCs/>
          <w:color w:val="2E75B6"/>
          <w:sz w:val="26"/>
          <w:szCs w:val="26"/>
        </w:rPr>
        <w:t xml:space="preserve">5.2 Mengelola Portofolio Diseminasi Multi-Format</w:t>
      </w:r>
    </w:p>
    <w:p>
      <w:pPr>
        <w:spacing w:after="200" w:line="300"/>
        <w:jc w:val="both"/>
      </w:pPr>
      <w:r>
        <w:rPr>
          <w:rFonts w:ascii="Calibri" w:cs="Calibri" w:eastAsia="Calibri" w:hAnsi="Calibri"/>
          <w:i w:val="false"/>
          <w:iCs w:val="false"/>
          <w:sz w:val="24"/>
          <w:szCs w:val="24"/>
        </w:rPr>
        <w:t xml:space="preserve">Sebagaimana dibahas pada Buku C1 Bab 7, riset kebijakan kesehatan haji idealnya didiseminasikan melalui portofolio multi-format yang saling melengkapi: publikasi jurnal internasional untuk kredibilitas ilmiah dan kontribusi pengetahuan global, policy brief untuk audiens pembuat kebijakan domestik, presentasi pada forum tinjauan tahunan atau konferensi profesi kedokteran haji untuk audiens akademisi dan praktisi domestik, serta materi populer untuk publik luas jika temuan riset relevan bagi kesadaran masyarakat.</w:t>
      </w:r>
    </w:p>
    <w:p>
      <w:pPr>
        <w:spacing w:after="200" w:line="300"/>
        <w:jc w:val="both"/>
      </w:pPr>
      <w:r>
        <w:rPr>
          <w:rFonts w:ascii="Calibri" w:cs="Calibri" w:eastAsia="Calibri" w:hAnsi="Calibri"/>
          <w:i w:val="false"/>
          <w:iCs w:val="false"/>
          <w:sz w:val="24"/>
          <w:szCs w:val="24"/>
        </w:rPr>
        <w:t xml:space="preserve">Mengelola portofolio multi-format ini menuntut keterampilan menerjemahkan temuan riset yang sama ke dalam berbagai tingkat kedalaman dan bahasa yang sesuai audiens, tanpa mengorbankan akurasi substansi — keterampilan yang telah dilatih melalui Latihan Analisis pada Buku C1 Bab 7 dan yang perlu terus diasah sepanjang karier akademik-kebijakan Anda.</w:t>
      </w:r>
    </w:p>
    <w:p>
      <w:pPr>
        <w:pStyle w:val="Heading2"/>
        <w:spacing w:after="180" w:before="360"/>
      </w:pPr>
      <w:r>
        <w:rPr>
          <w:rFonts w:ascii="Calibri" w:cs="Calibri" w:eastAsia="Calibri" w:hAnsi="Calibri"/>
          <w:b/>
          <w:bCs/>
          <w:color w:val="2E75B6"/>
          <w:sz w:val="26"/>
          <w:szCs w:val="26"/>
        </w:rPr>
        <w:t xml:space="preserve">5.3 Mengukur Dampak Diseminasi: Melampaui Metrik Sitasi</w:t>
      </w:r>
    </w:p>
    <w:p>
      <w:pPr>
        <w:spacing w:after="200" w:line="300"/>
        <w:jc w:val="both"/>
      </w:pPr>
      <w:r>
        <w:rPr>
          <w:rFonts w:ascii="Calibri" w:cs="Calibri" w:eastAsia="Calibri" w:hAnsi="Calibri"/>
          <w:i w:val="false"/>
          <w:iCs w:val="false"/>
          <w:sz w:val="24"/>
          <w:szCs w:val="24"/>
        </w:rPr>
        <w:t xml:space="preserve">Setelah portofolio diseminasi Anda tersebar ke berbagai audiens, pertanyaan berikutnya adalah bagaimana mengetahui apakah usaha itu benar-benar berhasil — jawabannya tidak selalu ada pada metrik akademik konvensional.</w:t>
      </w:r>
    </w:p>
    <w:p>
      <w:pPr>
        <w:spacing w:after="200" w:line="300"/>
        <w:jc w:val="both"/>
      </w:pPr>
      <w:r>
        <w:rPr>
          <w:rFonts w:ascii="Calibri" w:cs="Calibri" w:eastAsia="Calibri" w:hAnsi="Calibri"/>
          <w:i w:val="false"/>
          <w:iCs w:val="false"/>
          <w:sz w:val="24"/>
          <w:szCs w:val="24"/>
        </w:rPr>
        <w:t xml:space="preserve">Dampak riset kebijakan tidak sepenuhnya dapat diukur melalui metrik akademik konvensional seperti jumlah sitasi jurnal. Dampak kebijakan riil — perubahan kurikulum manasik kesehatan yang diadopsi berdasarkan rekomendasi Anda, perbaikan SPO rujukan kegawatan di lapangan, atau perubahan alokasi anggaran program berdasarkan analisis cost-effectiveness yang Anda susun — seringkali lebih penting namun lebih sulit diukur dan didokumentasikan secara sistematis dibandingkan metrik sitasi akademik.</w:t>
      </w:r>
    </w:p>
    <w:p>
      <w:pPr>
        <w:spacing w:after="200" w:line="300"/>
        <w:jc w:val="both"/>
      </w:pPr>
      <w:r>
        <w:rPr>
          <w:rFonts w:ascii="Calibri" w:cs="Calibri" w:eastAsia="Calibri" w:hAnsi="Calibri"/>
          <w:i w:val="false"/>
          <w:iCs w:val="false"/>
          <w:sz w:val="24"/>
          <w:szCs w:val="24"/>
        </w:rPr>
        <w:t xml:space="preserve">Sebagai peneliti kebijakan yang berorientasi dampak nyata sejak Bab 1 Buku C1, penting bagi Anda mengembangkan kebiasaan mendokumentasikan jejak dampak kebijakan riset Anda — komunikasi tertulis dari Kemenhaj yang mengonfirmasi adopsi rekomendasi, perubahan dokumen kebijakan resmi yang dapat ditelusuri ke rekomendasi Anda — sebagai bukti dampak yang dapat digunakan baik untuk pengembangan karier akademik maupun untuk memperkuat proposal riset lanjutan di masa mendatang.</w:t>
      </w:r>
    </w:p>
    <w:p>
      <w:pPr>
        <w:spacing w:after="80" w:before="160"/>
      </w:pPr>
      <w:r>
        <w:rPr>
          <w:rFonts w:ascii="Calibri" w:cs="Calibri" w:eastAsia="Calibri" w:hAnsi="Calibri"/>
          <w:b/>
          <w:bCs/>
          <w:i/>
          <w:iCs/>
          <w:color w:val="548235"/>
          <w:sz w:val="22"/>
          <w:szCs w:val="22"/>
        </w:rPr>
        <w:t xml:space="preserve">Ilustrasi Penerapan:</w:t>
      </w:r>
    </w:p>
    <w:p>
      <w:pPr>
        <w:spacing w:after="200" w:line="300"/>
        <w:jc w:val="both"/>
      </w:pPr>
      <w:r>
        <w:rPr>
          <w:rFonts w:ascii="Calibri" w:cs="Calibri" w:eastAsia="Calibri" w:hAnsi="Calibri"/>
          <w:i w:val="false"/>
          <w:iCs w:val="false"/>
          <w:sz w:val="24"/>
          <w:szCs w:val="24"/>
        </w:rPr>
        <w:t xml:space="preserve">Dua tahun setelah publikasi, seorang peneliti hipotetis dapat menunjukkan surat resmi dari Kemenhaj yang mengonfirmasi bahwa rekomendasinya diadopsi dalam revisi kurikulum nasional — bukti dampak yang jauh lebih bermakna secara kebijakan dibandingkan sekadar mencatat bahwa artikelnya telah disitasi lima kali oleh akademisi lain.</w:t>
      </w:r>
    </w:p>
    <w:p>
      <w:pPr>
        <w:pStyle w:val="Heading2"/>
        <w:spacing w:after="180" w:before="360"/>
      </w:pPr>
      <w:r>
        <w:rPr>
          <w:rFonts w:ascii="Calibri" w:cs="Calibri" w:eastAsia="Calibri" w:hAnsi="Calibri"/>
          <w:b/>
          <w:bCs/>
          <w:color w:val="2E75B6"/>
          <w:sz w:val="26"/>
          <w:szCs w:val="26"/>
        </w:rPr>
        <w:t xml:space="preserve">5.4 Penutup: Peran Anda dalam Ekosistem Pengetahuan Kesehatan Haji yang Berkelanjutan</w:t>
      </w:r>
    </w:p>
    <w:p>
      <w:pPr>
        <w:spacing w:after="200" w:line="300"/>
        <w:jc w:val="both"/>
      </w:pPr>
      <w:r>
        <w:rPr>
          <w:rFonts w:ascii="Calibri" w:cs="Calibri" w:eastAsia="Calibri" w:hAnsi="Calibri"/>
          <w:i w:val="false"/>
          <w:iCs w:val="false"/>
          <w:sz w:val="24"/>
          <w:szCs w:val="24"/>
        </w:rPr>
        <w:t xml:space="preserve">Sebagai penutup seri Buku Jalur C Magister RPL Fellowship, penting ditegaskan kembali bahwa perjalanan Anda dari praktisi klinis TKHI menjadi akademisi dan perumus kebijakan, sebagaimana dibahas sejak Bab 1 Buku C1, bukanlah transisi yang berakhir pada kelulusan Magister. Kesehatan haji, sebagaimana ditekankan dalam dokumen perencanaan ekosistem pendidikan yang lebih luas, adalah bidang yang terus berkembang mengikuti perubahan kebijakan, temuan riset baru, dan dinamika penyelenggaraan haji itu sendiri sebagai Living Document yang memerlukan pemutakhiran berkelanjutan.</w:t>
      </w:r>
    </w:p>
    <w:p>
      <w:pPr>
        <w:spacing w:after="200" w:line="300"/>
        <w:jc w:val="both"/>
      </w:pPr>
      <w:r>
        <w:rPr>
          <w:rFonts w:ascii="Calibri" w:cs="Calibri" w:eastAsia="Calibri" w:hAnsi="Calibri"/>
          <w:i w:val="false"/>
          <w:iCs w:val="false"/>
          <w:sz w:val="24"/>
          <w:szCs w:val="24"/>
        </w:rPr>
        <w:t xml:space="preserve">Kompetensi yang Anda bangun melalui keempat buku jalur ini — dari transisi peran dan evaluasi program berbasis bukti (C1), pendalaman metodologi evaluasi dan analisis cost-effectiveness (C2), pengembangan kurikulum dan model edukasi (C3), hingga metodologi riset lanjutan dan publikasi ilmiah (C4) — menyiapkan Anda menjadi kontributor berkelanjutan bagi ekosistem pengetahuan kesehatan haji Indonesia, baik melalui riset lanjutan, partisipasi dalam tinjauan tahunan kebijakan, maupun bimbingan bagi generasi lulusan Fellowship berikutnya yang akan menempuh jalur yang sama.</w:t>
      </w:r>
    </w:p>
    <w:p>
      <w:pPr>
        <w:spacing w:after="120" w:before="300"/>
      </w:pPr>
      <w:r>
        <w:rPr>
          <w:rFonts w:ascii="Calibri" w:cs="Calibri" w:eastAsia="Calibri" w:hAnsi="Calibri"/>
          <w:b/>
          <w:bCs/>
          <w:i/>
          <w:iCs/>
          <w:color w:val="1F4E79"/>
          <w:sz w:val="24"/>
          <w:szCs w:val="24"/>
        </w:rPr>
        <w:t xml:space="preserve">Studi Kasus</w:t>
      </w:r>
    </w:p>
    <w:p>
      <w:pPr>
        <w:spacing w:after="200" w:line="300"/>
        <w:jc w:val="both"/>
      </w:pPr>
      <w:r>
        <w:rPr>
          <w:rFonts w:ascii="Calibri" w:cs="Calibri" w:eastAsia="Calibri" w:hAnsi="Calibri"/>
          <w:i w:val="false"/>
          <w:iCs w:val="false"/>
          <w:sz w:val="24"/>
          <w:szCs w:val="24"/>
        </w:rPr>
        <w:t xml:space="preserve">Seorang lulusan jalur RPL Fellowship hipotetis, dua tahun pasca kelulusan, mendokumentasikan bahwa rekomendasi tesisnya mengenai revisi modul manasik kesehatan kardiovaskular telah diadopsi dalam pembaruan kurikulum nasional, dibuktikan melalui surat konfirmasi dari Kemenhaj dan perbandingan dokumen kurikulum sebelum-sesudah yang menunjukkan kesesuaian dengan rekomendasinya. Ia menggunakan dokumentasi dampak ini, dikombinasikan dengan publikasi jurnal internasional yang dihasilkan dari tesis yang sama, sebagai dasar mengajukan proposal riset lanjutan mengenai evaluasi jangka panjang dampak kurikulum revisi tersebut terhadap tren mortalitas kardiovaskular jemaah. [DATA: rujuk laporan evaluasi resmi Kemenhaj/Kemenkes terbaru untuk dokumentasi adopsi kebijakan aktual].</w:t>
      </w:r>
    </w:p>
    <w:p>
      <w:pPr>
        <w:spacing w:after="120" w:before="300"/>
      </w:pPr>
      <w:r>
        <w:rPr>
          <w:rFonts w:ascii="Calibri" w:cs="Calibri" w:eastAsia="Calibri" w:hAnsi="Calibri"/>
          <w:b/>
          <w:bCs/>
          <w:i/>
          <w:iCs/>
          <w:color w:val="1F4E79"/>
          <w:sz w:val="24"/>
          <w:szCs w:val="24"/>
        </w:rPr>
        <w:t xml:space="preserve">Latihan Analisis</w:t>
      </w:r>
    </w:p>
    <w:p>
      <w:pPr>
        <w:spacing w:after="200" w:line="300"/>
        <w:jc w:val="both"/>
      </w:pPr>
      <w:r>
        <w:rPr>
          <w:rFonts w:ascii="Calibri" w:cs="Calibri" w:eastAsia="Calibri" w:hAnsi="Calibri"/>
          <w:i w:val="false"/>
          <w:iCs w:val="false"/>
          <w:sz w:val="24"/>
          <w:szCs w:val="24"/>
        </w:rPr>
        <w:t xml:space="preserve">1. Rancang strategi diseminasi multi-format untuk temuan tesis hipotetis Anda yang dirumuskan pada Latihan Analisis Buku C1 Bab 8, mencakup minimal tiga format berbeda dan audiens sasarannya masing-masing.</w:t>
      </w:r>
    </w:p>
    <w:p>
      <w:pPr>
        <w:spacing w:after="200" w:line="300"/>
        <w:jc w:val="both"/>
      </w:pPr>
      <w:r>
        <w:rPr>
          <w:rFonts w:ascii="Calibri" w:cs="Calibri" w:eastAsia="Calibri" w:hAnsi="Calibri"/>
          <w:i w:val="false"/>
          <w:iCs w:val="false"/>
          <w:sz w:val="24"/>
          <w:szCs w:val="24"/>
        </w:rPr>
        <w:t xml:space="preserve">2. Identifikasi minimal dua indikator dampak kebijakan riil (bukan metrik akademik) yang dapat Anda dokumentasikan untuk membuktikan dampak riset kebijakan Anda di masa mendatang.</w:t>
      </w:r>
    </w:p>
    <w:p>
      <w:pPr>
        <w:spacing w:after="200" w:line="300"/>
        <w:jc w:val="both"/>
      </w:pPr>
      <w:r>
        <w:rPr>
          <w:rFonts w:ascii="Calibri" w:cs="Calibri" w:eastAsia="Calibri" w:hAnsi="Calibri"/>
          <w:i w:val="false"/>
          <w:iCs w:val="false"/>
          <w:sz w:val="24"/>
          <w:szCs w:val="24"/>
        </w:rPr>
        <w:t xml:space="preserve">3. Refleksikan kembali keempat buku dalam seri Jalur C ini (C1-C4): jelaskan bagaimana kompetensi dari masing-masing buku saling melengkapi dalam mempersiapkan Anda sebagai akademisi dan perumus kebijakan kesehatan haji yang berkelanjutan.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C4 — Metodologi Riset Lanjutan dan Publikasi Ilmiah Kedokteran Haji</dc:title>
  <dc:creator>Dr. dr. H. Budi Siswanto, Sp.OG., Subsp.Obginsos., SH., S.Kom.</dc:creator>
  <cp:lastModifiedBy>Un-named</cp:lastModifiedBy>
  <cp:revision>1</cp:revision>
  <dcterms:created xsi:type="dcterms:W3CDTF">2026-07-07T23:49:48.682Z</dcterms:created>
  <dcterms:modified xsi:type="dcterms:W3CDTF">2026-07-07T23:49:48.683Z</dcterms:modified>
</cp:coreProperties>
</file>

<file path=docProps/custom.xml><?xml version="1.0" encoding="utf-8"?>
<Properties xmlns="http://schemas.openxmlformats.org/officeDocument/2006/custom-properties" xmlns:vt="http://schemas.openxmlformats.org/officeDocument/2006/docPropsVTypes"/>
</file>