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0"/>
      </w:pPr>
    </w:p>
    <w:p>
      <w:pPr>
        <w:spacing w:after="120"/>
        <w:jc w:val="center"/>
      </w:pPr>
      <w:r>
        <w:rPr>
          <w:rFonts w:ascii="Calibri" w:cs="Calibri" w:eastAsia="Calibri" w:hAnsi="Calibri"/>
          <w:b/>
          <w:bCs/>
          <w:color w:val="2E75B6"/>
          <w:sz w:val="28"/>
          <w:szCs w:val="28"/>
        </w:rPr>
        <w:t xml:space="preserve">C3</w:t>
      </w:r>
    </w:p>
    <w:p>
      <w:pPr>
        <w:spacing w:after="240"/>
        <w:jc w:val="center"/>
      </w:pPr>
      <w:r>
        <w:rPr>
          <w:rFonts w:ascii="Calibri" w:cs="Calibri" w:eastAsia="Calibri" w:hAnsi="Calibri"/>
          <w:b/>
          <w:bCs/>
          <w:color w:val="1F4E79"/>
          <w:sz w:val="44"/>
          <w:szCs w:val="44"/>
        </w:rPr>
        <w:t xml:space="preserve">Pengembangan Kurikulum dan Model Edukasi Kesehatan Haji</w:t>
      </w:r>
    </w:p>
    <w:p>
      <w:pPr>
        <w:spacing w:after="600"/>
        <w:jc w:val="center"/>
      </w:pPr>
      <w:r>
        <w:rPr>
          <w:rFonts w:ascii="Calibri" w:cs="Calibri" w:eastAsia="Calibri" w:hAnsi="Calibri"/>
          <w:i/>
          <w:iCs/>
          <w:sz w:val="28"/>
          <w:szCs w:val="28"/>
        </w:rPr>
        <w:t xml:space="preserve">Buku Tematik Jalur RPL Fellowship</w:t>
      </w:r>
    </w:p>
    <w:p>
      <w:pPr>
        <w:spacing w:after="120"/>
        <w:jc w:val="center"/>
      </w:pPr>
      <w:r>
        <w:rPr>
          <w:rFonts w:ascii="Calibri" w:cs="Calibri" w:eastAsia="Calibri" w:hAnsi="Calibri"/>
          <w:sz w:val="22"/>
          <w:szCs w:val="22"/>
        </w:rPr>
        <w:t xml:space="preserve">Jalur Magister Kedokteran Haji — Jalur RPL Fellowship (1 tahun/4 semester)</w:t>
      </w:r>
    </w:p>
    <w:p>
      <w:pPr>
        <w:spacing w:after="1200"/>
        <w:jc w:val="center"/>
      </w:pPr>
      <w:r>
        <w:rPr>
          <w:rFonts w:ascii="Calibri" w:cs="Calibri" w:eastAsia="Calibri" w:hAnsi="Calibri"/>
          <w:i/>
          <w:iCs/>
          <w:sz w:val="20"/>
          <w:szCs w:val="20"/>
        </w:rPr>
        <w:t xml:space="preserve">Berdasarkan Ekosistem 21 Buku Pendidikan Kedokteran Haji — Edisi Revisi 2 (Pasca-Audit Substansi)</w:t>
      </w:r>
    </w:p>
    <w:p>
      <w:pPr>
        <w:spacing w:after="60"/>
        <w:jc w:val="center"/>
      </w:pPr>
      <w:r>
        <w:rPr>
          <w:rFonts w:ascii="Calibri" w:cs="Calibri" w:eastAsia="Calibri" w:hAnsi="Calibri"/>
          <w:sz w:val="22"/>
          <w:szCs w:val="22"/>
        </w:rPr>
        <w:t xml:space="preserve">Disusun oleh:</w:t>
      </w:r>
    </w:p>
    <w:p>
      <w:pPr>
        <w:spacing w:after="60"/>
        <w:jc w:val="center"/>
      </w:pPr>
      <w:r>
        <w:rPr>
          <w:rFonts w:ascii="Calibri" w:cs="Calibri" w:eastAsia="Calibri" w:hAnsi="Calibri"/>
          <w:b/>
          <w:bCs/>
          <w:sz w:val="24"/>
          <w:szCs w:val="24"/>
        </w:rPr>
        <w:t xml:space="preserve">Dr. dr. H. Budi Siswanto, Sp.OG., Subsp.Obginsos., SH., S.Kom.</w:t>
      </w:r>
    </w:p>
    <w:p>
      <w:pPr>
        <w:spacing w:after="60"/>
        <w:jc w:val="center"/>
      </w:pPr>
      <w:r>
        <w:rPr>
          <w:rFonts w:ascii="Calibri" w:cs="Calibri" w:eastAsia="Calibri" w:hAnsi="Calibri"/>
          <w:sz w:val="22"/>
          <w:szCs w:val="22"/>
        </w:rPr>
        <w:t xml:space="preserve">Perpustakaan Digital ABBA</w:t>
      </w:r>
    </w:p>
    <w:p>
      <w:pPr>
        <w:jc w:val="center"/>
      </w:pPr>
      <w:r>
        <w:rPr>
          <w:rFonts w:ascii="Calibri" w:cs="Calibri" w:eastAsia="Calibri" w:hAnsi="Calibri"/>
          <w:sz w:val="22"/>
          <w:szCs w:val="22"/>
        </w:rPr>
        <w:t xml:space="preserve">Malang, 2026</w:t>
      </w:r>
    </w:p>
    <w:p>
      <w:r>
        <w:br w:type="page"/>
      </w:r>
    </w:p>
    <w:p>
      <w:pPr>
        <w:pStyle w:val="Heading1"/>
        <w:spacing w:after="240" w:before="480"/>
      </w:pPr>
      <w:r>
        <w:rPr>
          <w:rFonts w:ascii="Calibri" w:cs="Calibri" w:eastAsia="Calibri" w:hAnsi="Calibri"/>
          <w:b/>
          <w:bCs/>
          <w:color w:val="1F4E79"/>
          <w:sz w:val="32"/>
          <w:szCs w:val="32"/>
        </w:rPr>
        <w:t xml:space="preserve">Deskripsi Buku</w:t>
      </w:r>
    </w:p>
    <w:p>
      <w:pPr>
        <w:spacing w:after="200" w:line="300"/>
        <w:jc w:val="both"/>
      </w:pPr>
      <w:r>
        <w:rPr>
          <w:rFonts w:ascii="Calibri" w:cs="Calibri" w:eastAsia="Calibri" w:hAnsi="Calibri"/>
          <w:i w:val="false"/>
          <w:iCs w:val="false"/>
          <w:sz w:val="24"/>
          <w:szCs w:val="24"/>
        </w:rPr>
        <w:t xml:space="preserve">Buku tematik pendalaman sisi pedagogis Buku C1, relevan bagi lulusan Jalur RPL Fellowship yang akan merancang materi manasik kesehatan berskala nasional. Buku ini membahas prinsip desain kurikulum edukasi kesehatan masyarakat, analisis kebutuhan belajar calon jemaah awam, model pembelajaran orang dewasa (andragogi) khususnya bagi jemaah lanjut usia, pengembangan materi ajar multimedia dan cetak, pelatihan kader kesehatan (Training of Trainers), serta uji coba dan revisi kurikulum berbasis umpan balik lapangan.</w:t>
      </w:r>
    </w:p>
    <w:p>
      <w:r>
        <w:br w:type="page"/>
      </w:r>
    </w:p>
    <w:p>
      <w:pPr>
        <w:pStyle w:val="Heading1"/>
        <w:spacing w:after="240" w:before="480"/>
      </w:pPr>
      <w:r>
        <w:rPr>
          <w:rFonts w:ascii="Calibri" w:cs="Calibri" w:eastAsia="Calibri" w:hAnsi="Calibri"/>
          <w:b/>
          <w:bCs/>
          <w:color w:val="1F4E79"/>
          <w:sz w:val="32"/>
          <w:szCs w:val="32"/>
        </w:rPr>
        <w:t xml:space="preserve">Daftar Isi</w:t>
      </w:r>
    </w:p>
    <w:sdt>
      <w:sdtPr>
        <w:alias w:val="Daftar Isi"/>
      </w:sdtPr>
      <w:sdtContent>
        <w:p>
          <w:r>
            <w:fldChar w:fldCharType="begin" w:dirty="true"/>
            <w:instrText xml:space="preserve">TOC \h \o "1-2"</w:instrText>
            <w:fldChar w:fldCharType="separate"/>
          </w:r>
        </w:p>
        <w:p>
          <w:r>
            <w:fldChar w:fldCharType="end"/>
          </w:r>
        </w:p>
      </w:sdtContent>
    </w:sdt>
    <w:p>
      <w:r>
        <w:br w:type="page"/>
      </w:r>
    </w:p>
    <w:p>
      <w:r>
        <w:br w:type="page"/>
      </w:r>
    </w:p>
    <w:p>
      <w:pPr>
        <w:pStyle w:val="Heading1"/>
        <w:spacing w:after="240" w:before="480"/>
      </w:pPr>
      <w:r>
        <w:rPr>
          <w:rFonts w:ascii="Calibri" w:cs="Calibri" w:eastAsia="Calibri" w:hAnsi="Calibri"/>
          <w:b/>
          <w:bCs/>
          <w:color w:val="1F4E79"/>
          <w:sz w:val="32"/>
          <w:szCs w:val="32"/>
        </w:rPr>
        <w:t xml:space="preserve">Bab 1. Prinsip Desain Kurikulum Edukasi Kesehatan Masyarakat</w:t>
      </w:r>
    </w:p>
    <w:p>
      <w:pPr>
        <w:spacing w:after="200" w:line="300"/>
        <w:jc w:val="both"/>
      </w:pPr>
      <w:r>
        <w:rPr>
          <w:rFonts w:ascii="Calibri" w:cs="Calibri" w:eastAsia="Calibri" w:hAnsi="Calibri"/>
          <w:i w:val="false"/>
          <w:iCs w:val="false"/>
          <w:sz w:val="24"/>
          <w:szCs w:val="24"/>
        </w:rPr>
        <w:t xml:space="preserve">Buku C1 memperkenalkan tahapan dasar pengembangan dan validasi kurikulum manasik kesehatan. Buku C3 ini memperdalam sisi pedagogis pengembangan kurikulum secara komprehensif, relevan bagi lulusan jalur RPL Fellowship yang akan merancang materi manasik kesehatan skala nasional. Bab pembuka ini membangun fondasi teori desain kurikulum yang akan mendasari seluruh bab berikutnya.</w:t>
      </w:r>
    </w:p>
    <w:p>
      <w:pPr>
        <w:pStyle w:val="Heading2"/>
        <w:spacing w:after="180" w:before="360"/>
      </w:pPr>
      <w:r>
        <w:rPr>
          <w:rFonts w:ascii="Calibri" w:cs="Calibri" w:eastAsia="Calibri" w:hAnsi="Calibri"/>
          <w:b/>
          <w:bCs/>
          <w:color w:val="2E75B6"/>
          <w:sz w:val="26"/>
          <w:szCs w:val="26"/>
        </w:rPr>
        <w:t xml:space="preserve">1.1 Backward Design: Mulai dari Hasil, Bukan dari Konten</w:t>
      </w:r>
    </w:p>
    <w:p>
      <w:pPr>
        <w:spacing w:after="200" w:line="300"/>
        <w:jc w:val="both"/>
      </w:pPr>
      <w:r>
        <w:rPr>
          <w:rFonts w:ascii="Calibri" w:cs="Calibri" w:eastAsia="Calibri" w:hAnsi="Calibri"/>
          <w:i w:val="false"/>
          <w:iCs w:val="false"/>
          <w:sz w:val="24"/>
          <w:szCs w:val="24"/>
        </w:rPr>
        <w:t xml:space="preserve">Sebelum Anda menulis satu kalimat materi pun, pendekatan berikut menuntut Anda menahan diri dan mulai dari arah yang berlawanan dengan naluri alami seorang dokter.</w:t>
      </w:r>
    </w:p>
    <w:p>
      <w:pPr>
        <w:spacing w:after="200" w:line="300"/>
        <w:jc w:val="both"/>
      </w:pPr>
      <w:r>
        <w:rPr>
          <w:rFonts w:ascii="Calibri" w:cs="Calibri" w:eastAsia="Calibri" w:hAnsi="Calibri"/>
          <w:i w:val="false"/>
          <w:iCs w:val="false"/>
          <w:sz w:val="24"/>
          <w:szCs w:val="24"/>
        </w:rPr>
        <w:t xml:space="preserve">Pendekatan backward design, yang dipopulerkan Wiggins dan McTighe, menekankan bahwa perancangan kurikulum idealnya dimulai dari hasil pembelajaran yang diinginkan (apa yang harus mampu dilakukan calon jemaah setelah mengikuti manasik kesehatan), kemudian menyusun bukti penilaian yang akan menunjukkan pencapaian hasil tersebut, dan barulah merancang aktivitas serta konten pembelajaran yang mengarah pada pencapaian hasil itu. Pendekatan ini bertolak belakang dengan kecenderungan umum penyusun kurikulum kesehatan yang justru memulai dari 'apa yang penting disampaikan secara medis' tanpa terlebih dahulu memastikan kejelasan hasil perilaku yang diinginkan.</w:t>
      </w:r>
    </w:p>
    <w:p>
      <w:pPr>
        <w:spacing w:after="200" w:line="300"/>
        <w:jc w:val="both"/>
      </w:pPr>
      <w:r>
        <w:rPr>
          <w:rFonts w:ascii="Calibri" w:cs="Calibri" w:eastAsia="Calibri" w:hAnsi="Calibri"/>
          <w:i w:val="false"/>
          <w:iCs w:val="false"/>
          <w:sz w:val="24"/>
          <w:szCs w:val="24"/>
        </w:rPr>
        <w:t xml:space="preserve">Sebagai lulusan Fellowship, kecenderungan alami Anda mungkin mengikuti pola pikir klinis: menyampaikan informasi medis selengkap mungkin. Backward design menuntut disiplin berpikir terbalik — menentukan lebih dulu perilaku spesifik apa yang harus mampu ditunjukkan calon jemaah, baru kemudian menyeleksi informasi medis yang benar-benar diperlukan untuk mencapai perilaku tersebut, membuang informasi yang meskipun benar secara medis namun tidak esensial bagi tujuan perilaku yang ditetapkan.</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Alih-alih memulai dengan 'saya akan mengajarkan seluruh patofisiologi dehidrasi', backward design memaksa Anda memulai dari: 'saya ingin jemaah mampu memeriksa warna urine sendiri dan bertindak jika berwarna pekat'. Dari titik akhir ini, Anda baru menyeleksi mundur — informasi apa yang benar-benar diperlukan agar jemaah mampu melakukan itu, dan membuang penjelasan biokimia yang tidak menunjang tindakan tersebut.</w:t>
      </w:r>
    </w:p>
    <w:p>
      <w:pPr>
        <w:pStyle w:val="Heading2"/>
        <w:spacing w:after="180" w:before="360"/>
      </w:pPr>
      <w:r>
        <w:rPr>
          <w:rFonts w:ascii="Calibri" w:cs="Calibri" w:eastAsia="Calibri" w:hAnsi="Calibri"/>
          <w:b/>
          <w:bCs/>
          <w:color w:val="2E75B6"/>
          <w:sz w:val="26"/>
          <w:szCs w:val="26"/>
        </w:rPr>
        <w:t xml:space="preserve">1.2 Taksonomi Bloom dan Ranah Pembelajaran dalam Konteks Manasik Kesehatan</w:t>
      </w:r>
    </w:p>
    <w:p>
      <w:pPr>
        <w:spacing w:after="200" w:line="300"/>
        <w:jc w:val="both"/>
      </w:pPr>
      <w:r>
        <w:rPr>
          <w:rFonts w:ascii="Calibri" w:cs="Calibri" w:eastAsia="Calibri" w:hAnsi="Calibri"/>
          <w:i w:val="false"/>
          <w:iCs w:val="false"/>
          <w:sz w:val="24"/>
          <w:szCs w:val="24"/>
        </w:rPr>
        <w:t xml:space="preserve">Ketiga ranah berikut sering luput diperhatikan sekaligus karena kurikulum kesehatan cenderung terjebak hanya pada ranah pertama.</w:t>
      </w:r>
    </w:p>
    <w:p>
      <w:pPr>
        <w:pStyle w:val="Heading3"/>
        <w:spacing w:after="140" w:before="280"/>
      </w:pPr>
      <w:r>
        <w:rPr>
          <w:rFonts w:ascii="Calibri" w:cs="Calibri" w:eastAsia="Calibri" w:hAnsi="Calibri"/>
          <w:b/>
          <w:bCs/>
          <w:i/>
          <w:iCs/>
          <w:color w:val="2E75B6"/>
          <w:sz w:val="24"/>
          <w:szCs w:val="24"/>
        </w:rPr>
        <w:t xml:space="preserve">1.2.1 Ranah Kognitif (Pengetahuan)</w:t>
      </w:r>
    </w:p>
    <w:p>
      <w:pPr>
        <w:spacing w:after="200" w:line="300"/>
        <w:jc w:val="both"/>
      </w:pPr>
      <w:r>
        <w:rPr>
          <w:rFonts w:ascii="Calibri" w:cs="Calibri" w:eastAsia="Calibri" w:hAnsi="Calibri"/>
          <w:i w:val="false"/>
          <w:iCs w:val="false"/>
          <w:sz w:val="24"/>
          <w:szCs w:val="24"/>
        </w:rPr>
        <w:t xml:space="preserve">Ranah ini paling umum menjadi fokus kurikulum manasik kesehatan konvensional — menghafal tanda bahaya, mengetahui fakta kesehatan.</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Jemaah mampu menyebutkan tiga tanda dehidrasi berat ketika ditanya.</w:t>
      </w:r>
    </w:p>
    <w:p>
      <w:pPr>
        <w:pStyle w:val="Heading3"/>
        <w:spacing w:after="140" w:before="280"/>
      </w:pPr>
      <w:r>
        <w:rPr>
          <w:rFonts w:ascii="Calibri" w:cs="Calibri" w:eastAsia="Calibri" w:hAnsi="Calibri"/>
          <w:b/>
          <w:bCs/>
          <w:i/>
          <w:iCs/>
          <w:color w:val="2E75B6"/>
          <w:sz w:val="24"/>
          <w:szCs w:val="24"/>
        </w:rPr>
        <w:t xml:space="preserve">1.2.2 Ranah Afektif (Sikap dan Nilai)</w:t>
      </w:r>
    </w:p>
    <w:p>
      <w:pPr>
        <w:spacing w:after="200" w:line="300"/>
        <w:jc w:val="both"/>
      </w:pPr>
      <w:r>
        <w:rPr>
          <w:rFonts w:ascii="Calibri" w:cs="Calibri" w:eastAsia="Calibri" w:hAnsi="Calibri"/>
          <w:i w:val="false"/>
          <w:iCs w:val="false"/>
          <w:sz w:val="24"/>
          <w:szCs w:val="24"/>
        </w:rPr>
        <w:t xml:space="preserve">Ranah ini membangun keyakinan bahwa kepatuhan kesehatan mendukung, bukan menghalangi, kesempurnaan ibadah, sebagaimana dibahas melalui Model Keyakinan Kesehatan pada Buku C1 Bab 4.</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Jemaah meyakini bahwa beristirahat sejenak di tengah rangkaian ibadah bukan tanda kurang khusyuk, melainkan cara menjaga agar seluruh rangkaian ibadah dapat diselesaikan.</w:t>
      </w:r>
    </w:p>
    <w:p>
      <w:pPr>
        <w:pStyle w:val="Heading3"/>
        <w:spacing w:after="140" w:before="280"/>
      </w:pPr>
      <w:r>
        <w:rPr>
          <w:rFonts w:ascii="Calibri" w:cs="Calibri" w:eastAsia="Calibri" w:hAnsi="Calibri"/>
          <w:b/>
          <w:bCs/>
          <w:i/>
          <w:iCs/>
          <w:color w:val="2E75B6"/>
          <w:sz w:val="24"/>
          <w:szCs w:val="24"/>
        </w:rPr>
        <w:t xml:space="preserve">1.2.3 Ranah Psikomotor (Keterampilan)</w:t>
      </w:r>
    </w:p>
    <w:p>
      <w:pPr>
        <w:spacing w:after="200" w:line="300"/>
        <w:jc w:val="both"/>
      </w:pPr>
      <w:r>
        <w:rPr>
          <w:rFonts w:ascii="Calibri" w:cs="Calibri" w:eastAsia="Calibri" w:hAnsi="Calibri"/>
          <w:i w:val="false"/>
          <w:iCs w:val="false"/>
          <w:sz w:val="24"/>
          <w:szCs w:val="24"/>
        </w:rPr>
        <w:t xml:space="preserve">Ranah ini mencakup keterampilan praktis seperti mengatur jadwal minum obat atau memeriksa tanda vital sederhana pada diri sendiri.</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Jemaah mampu mendemonstrasikan cara mengisi kotak obat mingguan sesuai jadwal dokter dengan benar.</w:t>
      </w:r>
    </w:p>
    <w:p>
      <w:pPr>
        <w:pStyle w:val="Heading2"/>
        <w:spacing w:after="180" w:before="360"/>
      </w:pPr>
      <w:r>
        <w:rPr>
          <w:rFonts w:ascii="Calibri" w:cs="Calibri" w:eastAsia="Calibri" w:hAnsi="Calibri"/>
          <w:b/>
          <w:bCs/>
          <w:color w:val="2E75B6"/>
          <w:sz w:val="26"/>
          <w:szCs w:val="26"/>
        </w:rPr>
        <w:t xml:space="preserve">1.3 Prinsip Kesesuaian Konstruktif (Constructive Alignment)</w:t>
      </w:r>
    </w:p>
    <w:p>
      <w:pPr>
        <w:spacing w:after="200" w:line="300"/>
        <w:jc w:val="both"/>
      </w:pPr>
      <w:r>
        <w:rPr>
          <w:rFonts w:ascii="Calibri" w:cs="Calibri" w:eastAsia="Calibri" w:hAnsi="Calibri"/>
          <w:i w:val="false"/>
          <w:iCs w:val="false"/>
          <w:sz w:val="24"/>
          <w:szCs w:val="24"/>
        </w:rPr>
        <w:t xml:space="preserve">Prinsip berikut adalah alat diagnostik sederhana yang dapat Anda gunakan untuk memeriksa apakah kurikulum yang sudah ada (atau sedang Anda rancang) memiliki cacat desain tersembunyi.</w:t>
      </w:r>
    </w:p>
    <w:p>
      <w:pPr>
        <w:spacing w:after="200" w:line="300"/>
        <w:jc w:val="both"/>
      </w:pPr>
      <w:r>
        <w:rPr>
          <w:rFonts w:ascii="Calibri" w:cs="Calibri" w:eastAsia="Calibri" w:hAnsi="Calibri"/>
          <w:i w:val="false"/>
          <w:iCs w:val="false"/>
          <w:sz w:val="24"/>
          <w:szCs w:val="24"/>
        </w:rPr>
        <w:t xml:space="preserve">Biggs mengembangkan prinsip constructive alignment yang menekankan keselarasan antara tujuan pembelajaran, aktivitas pembelajaran, dan metode penilaian. Ketidakselarasan ketiga elemen ini adalah kesalahan desain kurikulum yang umum ditemui — misalnya, tujuan pembelajaran yang berorientasi keterampilan praktis (mengenali tanda bahaya di lapangan), namun aktivitas pembelajaran hanya berupa ceramah pasif, dan penilaian hanya berupa tes pilihan ganda pengetahuan faktual yang tidak benar-benar mengukur kemampuan pengenalan tanda bahaya secara kontekstual.</w:t>
      </w:r>
    </w:p>
    <w:p>
      <w:pPr>
        <w:spacing w:after="200" w:line="300"/>
        <w:jc w:val="both"/>
      </w:pPr>
      <w:r>
        <w:rPr>
          <w:rFonts w:ascii="Calibri" w:cs="Calibri" w:eastAsia="Calibri" w:hAnsi="Calibri"/>
          <w:i w:val="false"/>
          <w:iCs w:val="false"/>
          <w:sz w:val="24"/>
          <w:szCs w:val="24"/>
        </w:rPr>
        <w:t xml:space="preserve">Sebagai perancang kurikulum manasik kesehatan, tugas Anda adalah memastikan ketiga elemen ini — tujuan, aktivitas, dan penilaian — secara konsisten mengarah pada perilaku yang sama, sehingga apa yang diajarkan, bagaimana cara mengajarkannya, dan bagaimana menilainya, seluruhnya koheren dan saling memperkuat.</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Sebuah kurikulum menetapkan tujuan 'jemaah mampu mempraktikkan pertolongan pertama sederhana pada rekan yang mengalami heat exhaustion', namun aktivitasnya hanya ceramah dan penilaiannya hanya tes tertulis pilihan ganda. Ketidakselarasan ini terlihat jelas begitu diperiksa: bagaimana mungkin kemampuan praktik dinilai lewat pilihan ganda tanpa demonstrasi langsung?</w:t>
      </w:r>
    </w:p>
    <w:p>
      <w:pPr>
        <w:pStyle w:val="Heading2"/>
        <w:spacing w:after="180" w:before="360"/>
      </w:pPr>
      <w:r>
        <w:rPr>
          <w:rFonts w:ascii="Calibri" w:cs="Calibri" w:eastAsia="Calibri" w:hAnsi="Calibri"/>
          <w:b/>
          <w:bCs/>
          <w:color w:val="2E75B6"/>
          <w:sz w:val="26"/>
          <w:szCs w:val="26"/>
        </w:rPr>
        <w:t xml:space="preserve">1.4 Mengintegrasikan Prinsip Desain dengan Konteks Budaya dan Spiritual</w:t>
      </w:r>
    </w:p>
    <w:p>
      <w:pPr>
        <w:spacing w:after="200" w:line="300"/>
        <w:jc w:val="both"/>
      </w:pPr>
      <w:r>
        <w:rPr>
          <w:rFonts w:ascii="Calibri" w:cs="Calibri" w:eastAsia="Calibri" w:hAnsi="Calibri"/>
          <w:i w:val="false"/>
          <w:iCs w:val="false"/>
          <w:sz w:val="24"/>
          <w:szCs w:val="24"/>
        </w:rPr>
        <w:t xml:space="preserve">Desain kurikulum manasik kesehatan yang efektif tidak dapat mengabaikan konteks budaya dan spiritual yang membingkai motivasi belajar calon jemaah haji. Prinsip desain kurikulum konvensional perlu diintegrasikan dengan pemahaman bahwa audiens Anda termotivasi oleh tujuan ibadah, sehingga framing pembelajaran — sebagaimana disinggung pada Buku C1 Bab 4 — perlu secara konsisten menghubungkan setiap tujuan pembelajaran kesehatan dengan makna spiritualnya, bukan menyajikannya sebagai materi kesehatan sekuler yang terpisah dari konteks ibadah yang dijalani jemaah.</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Tim pengembang kurikulum hipotetis merancang ulang modul manasik kesehatan menggunakan pendekatan backward design, dimulai dari penetapan hasil pembelajaran spesifik ('calon jemaah mampu mendemonstrasikan cara memeriksa warna urine sebagai indikator hidrasi'), menyusun instrumen penilaian berupa demonstrasi praktik langsung (bukan tes tertulis), dan barulah merancang aktivitas pembelajaran berupa sesi simulasi interaktif yang selaras dengan hasil dan penilaian yang telah ditetapkan sebelumnya. [DATA: rujuk laporan evaluasi resmi Kemenhaj/Kemenkes terbaru untuk hasil uji coba pendekatan ini].</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Terapkan pendekatan backward design pada topik 'pengenalan tanda bahaya heat exhaustion': tetapkan hasil pembelajaran spesifik terlebih dahulu, kemudian instrumen penilaian, dan terakhir aktivitas pembelajaran.</w:t>
      </w:r>
    </w:p>
    <w:p>
      <w:pPr>
        <w:spacing w:after="200" w:line="300"/>
        <w:jc w:val="both"/>
      </w:pPr>
      <w:r>
        <w:rPr>
          <w:rFonts w:ascii="Calibri" w:cs="Calibri" w:eastAsia="Calibri" w:hAnsi="Calibri"/>
          <w:i w:val="false"/>
          <w:iCs w:val="false"/>
          <w:sz w:val="24"/>
          <w:szCs w:val="24"/>
        </w:rPr>
        <w:t xml:space="preserve">2. Identifikasi satu contoh kurikulum manasik kesehatan (dari pengalaman Anda) yang menunjukkan ketidakselarasan antara tujuan, aktivitas, dan penilaian, dan usulkan cara memperbaikinya sesuai prinsip constructive alignment.</w:t>
      </w:r>
    </w:p>
    <w:p>
      <w:pPr>
        <w:spacing w:after="200" w:line="300"/>
        <w:jc w:val="both"/>
      </w:pPr>
      <w:r>
        <w:rPr>
          <w:rFonts w:ascii="Calibri" w:cs="Calibri" w:eastAsia="Calibri" w:hAnsi="Calibri"/>
          <w:i w:val="false"/>
          <w:iCs w:val="false"/>
          <w:sz w:val="24"/>
          <w:szCs w:val="24"/>
        </w:rPr>
        <w:t xml:space="preserve">3. Jelaskan bagaimana Anda akan mengintegrasikan makna spiritual ibadah haji ke dalam satu tujuan pembelajaran kesehatan yang bersifat teknis, seperti pengelolaan obat kronik.</w:t>
      </w:r>
    </w:p>
    <w:p>
      <w:r>
        <w:br w:type="page"/>
      </w:r>
    </w:p>
    <w:p>
      <w:pPr>
        <w:pStyle w:val="Heading1"/>
        <w:spacing w:after="240" w:before="480"/>
      </w:pPr>
      <w:r>
        <w:rPr>
          <w:rFonts w:ascii="Calibri" w:cs="Calibri" w:eastAsia="Calibri" w:hAnsi="Calibri"/>
          <w:b/>
          <w:bCs/>
          <w:color w:val="1F4E79"/>
          <w:sz w:val="32"/>
          <w:szCs w:val="32"/>
        </w:rPr>
        <w:t xml:space="preserve">Bab 2. Analisis Kebutuhan Belajar Calon Jemaah (Health Literacy Awam)</w:t>
      </w:r>
    </w:p>
    <w:p>
      <w:pPr>
        <w:spacing w:after="200" w:line="300"/>
        <w:jc w:val="both"/>
      </w:pPr>
      <w:r>
        <w:rPr>
          <w:rFonts w:ascii="Calibri" w:cs="Calibri" w:eastAsia="Calibri" w:hAnsi="Calibri"/>
          <w:i w:val="false"/>
          <w:iCs w:val="false"/>
          <w:sz w:val="24"/>
          <w:szCs w:val="24"/>
        </w:rPr>
        <w:t xml:space="preserve">Sebelum kurikulum dapat dirancang secara efektif, analisis kebutuhan belajar (training needs analysis) yang cermat diperlukan untuk memastikan materi yang dikembangkan benar-benar menjawab kesenjangan pengetahuan dan keterampilan aktual calon jemaah, bukan asumsi penyusun kurikulum yang belum tentu sesuai realitas lapangan. Bab ini memperdalam metodologi analisis kebutuhan belajar yang relevan untuk konteks manasik kesehatan.</w:t>
      </w:r>
    </w:p>
    <w:p>
      <w:pPr>
        <w:pStyle w:val="Heading2"/>
        <w:spacing w:after="180" w:before="360"/>
      </w:pPr>
      <w:r>
        <w:rPr>
          <w:rFonts w:ascii="Calibri" w:cs="Calibri" w:eastAsia="Calibri" w:hAnsi="Calibri"/>
          <w:b/>
          <w:bCs/>
          <w:color w:val="2E75B6"/>
          <w:sz w:val="26"/>
          <w:szCs w:val="26"/>
        </w:rPr>
        <w:t xml:space="preserve">2.1 Mengukur Literasi Kesehatan Dasar Calon Jemaah</w:t>
      </w:r>
    </w:p>
    <w:p>
      <w:pPr>
        <w:spacing w:after="200" w:line="300"/>
        <w:jc w:val="both"/>
      </w:pPr>
      <w:r>
        <w:rPr>
          <w:rFonts w:ascii="Calibri" w:cs="Calibri" w:eastAsia="Calibri" w:hAnsi="Calibri"/>
          <w:i w:val="false"/>
          <w:iCs w:val="false"/>
          <w:sz w:val="24"/>
          <w:szCs w:val="24"/>
        </w:rPr>
        <w:t xml:space="preserve">Sebelum menyusun instrumen apa pun, Anda perlu memahami bahwa mengukur literasi kesehatan bukan sekadar menerjemahkan kuesioner asing ke bahasa Indonesia.</w:t>
      </w:r>
    </w:p>
    <w:p>
      <w:pPr>
        <w:spacing w:after="200" w:line="300"/>
        <w:jc w:val="both"/>
      </w:pPr>
      <w:r>
        <w:rPr>
          <w:rFonts w:ascii="Calibri" w:cs="Calibri" w:eastAsia="Calibri" w:hAnsi="Calibri"/>
          <w:i w:val="false"/>
          <w:iCs w:val="false"/>
          <w:sz w:val="24"/>
          <w:szCs w:val="24"/>
        </w:rPr>
        <w:t xml:space="preserve">Literasi kesehatan (health literacy) — kemampuan seseorang memperoleh, memahami, dan menggunakan informasi kesehatan untuk membuat keputusan yang tepat — bervariasi luas di antara calon jemaah haji Indonesia. Instrumen pengukuran literasi kesehatan yang telah tervalidasi secara internasional, seperti Health Literacy Questionnaire, dapat diadaptasi ke dalam bahasa dan konteks budaya Indonesia untuk memetakan tingkat literasi kesehatan calon jemaah pada suatu embarkasi sebelum kurikulum manasik kesehatan dirancang atau direvisi.</w:t>
      </w:r>
    </w:p>
    <w:p>
      <w:pPr>
        <w:spacing w:after="200" w:line="300"/>
        <w:jc w:val="both"/>
      </w:pPr>
      <w:r>
        <w:rPr>
          <w:rFonts w:ascii="Calibri" w:cs="Calibri" w:eastAsia="Calibri" w:hAnsi="Calibri"/>
          <w:i w:val="false"/>
          <w:iCs w:val="false"/>
          <w:sz w:val="24"/>
          <w:szCs w:val="24"/>
        </w:rPr>
        <w:t xml:space="preserve">Adaptasi instrumen literasi kesehatan internasional ke konteks lokal memerlukan proses validasi budaya (cultural adaptation) yang cermat, bukan sekadar penerjemahan literal, mengingat konsep literasi kesehatan dapat dipahami berbeda dalam konteks budaya yang berbeda pula.</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Pertanyaan instrumen internasional seperti 'seberapa mudah Anda memahami label obat resep' mungkin perlu disesuaikan menjadi 'seberapa mudah Bapak/Ibu memahami jadwal minum obat yang dituliskan dokter puskesmas', mengingat konteks budaya di mana banyak jemaah lanjut usia mengandalkan penjelasan lisan keluarga dibandingkan membaca label sendiri.</w:t>
      </w:r>
    </w:p>
    <w:p>
      <w:pPr>
        <w:pStyle w:val="Heading2"/>
        <w:spacing w:after="180" w:before="360"/>
      </w:pPr>
      <w:r>
        <w:rPr>
          <w:rFonts w:ascii="Calibri" w:cs="Calibri" w:eastAsia="Calibri" w:hAnsi="Calibri"/>
          <w:b/>
          <w:bCs/>
          <w:color w:val="2E75B6"/>
          <w:sz w:val="26"/>
          <w:szCs w:val="26"/>
        </w:rPr>
        <w:t xml:space="preserve">2.2 Metode Triangulasi dalam Analisis Kebutuhan Belajar</w:t>
      </w:r>
    </w:p>
    <w:p>
      <w:pPr>
        <w:spacing w:after="200" w:line="300"/>
        <w:jc w:val="both"/>
      </w:pPr>
      <w:r>
        <w:rPr>
          <w:rFonts w:ascii="Calibri" w:cs="Calibri" w:eastAsia="Calibri" w:hAnsi="Calibri"/>
          <w:i w:val="false"/>
          <w:iCs w:val="false"/>
          <w:sz w:val="24"/>
          <w:szCs w:val="24"/>
        </w:rPr>
        <w:t xml:space="preserve">Analisis kebutuhan belajar yang kuat menggabungkan beberapa sumber data: survei literasi kesehatan calon jemaah, wawancara mendalam dengan petugas puskesmas dan fasilitator KBIHU mengenai kesenjangan pengetahuan yang sering mereka amati, serta analisis data klinis retrospektif mengenai jenis kegawatan yang paling sering terjadi pada jemaah dari embarkasi tertentu. Triangulasi sumber data ini memungkinkan identifikasi kebutuhan belajar yang lebih akurat dibandingkan mengandalkan satu sumber data tunggal, misalnya hanya berdasarkan asumsi penyusun kurikulum berdasarkan pengalaman anekdotal semata.</w:t>
      </w:r>
    </w:p>
    <w:p>
      <w:pPr>
        <w:pStyle w:val="Heading2"/>
        <w:spacing w:after="180" w:before="360"/>
      </w:pPr>
      <w:r>
        <w:rPr>
          <w:rFonts w:ascii="Calibri" w:cs="Calibri" w:eastAsia="Calibri" w:hAnsi="Calibri"/>
          <w:b/>
          <w:bCs/>
          <w:color w:val="2E75B6"/>
          <w:sz w:val="26"/>
          <w:szCs w:val="26"/>
        </w:rPr>
        <w:t xml:space="preserve">2.3 Segmentasi Audiens Berdasarkan Profil Risiko dan Karakteristik Demografis</w:t>
      </w:r>
    </w:p>
    <w:p>
      <w:pPr>
        <w:spacing w:after="200" w:line="300"/>
        <w:jc w:val="both"/>
      </w:pPr>
      <w:r>
        <w:rPr>
          <w:rFonts w:ascii="Calibri" w:cs="Calibri" w:eastAsia="Calibri" w:hAnsi="Calibri"/>
          <w:i w:val="false"/>
          <w:iCs w:val="false"/>
          <w:sz w:val="24"/>
          <w:szCs w:val="24"/>
        </w:rPr>
        <w:t xml:space="preserve">Setelah kebutuhan belajar terpetakan, langkah berikutnya adalah menyadari bahwa 'kebutuhan belajar calon jemaah' bukan satu kebutuhan tunggal, melainkan beberapa kebutuhan berbeda yang perlu dipilah.</w:t>
      </w:r>
    </w:p>
    <w:p>
      <w:pPr>
        <w:spacing w:after="200" w:line="300"/>
        <w:jc w:val="both"/>
      </w:pPr>
      <w:r>
        <w:rPr>
          <w:rFonts w:ascii="Calibri" w:cs="Calibri" w:eastAsia="Calibri" w:hAnsi="Calibri"/>
          <w:i w:val="false"/>
          <w:iCs w:val="false"/>
          <w:sz w:val="24"/>
          <w:szCs w:val="24"/>
        </w:rPr>
        <w:t xml:space="preserve">Kebutuhan belajar calon jemaah tidak homogen. Segmentasi audiens berdasarkan usia (jemaah lanjut usia versus jemaah usia produktif), status komorbid (jemaah dengan penyakit kronik versus tanpa), dan tingkat literasi kesehatan memungkinkan penyusunan kurikulum berlapis (tiered curriculum) sebagaimana disinggung pada Buku C1 Bab 4 — materi inti bagi seluruh jemaah, dan modul tambahan spesifik bagi kelompok dengan kebutuhan belajar khusus.</w:t>
      </w:r>
    </w:p>
    <w:p>
      <w:pPr>
        <w:spacing w:after="200" w:line="300"/>
        <w:jc w:val="both"/>
      </w:pPr>
      <w:r>
        <w:rPr>
          <w:rFonts w:ascii="Calibri" w:cs="Calibri" w:eastAsia="Calibri" w:hAnsi="Calibri"/>
          <w:i w:val="false"/>
          <w:iCs w:val="false"/>
          <w:sz w:val="24"/>
          <w:szCs w:val="24"/>
        </w:rPr>
        <w:t xml:space="preserve">Segmentasi ini juga perlu mempertimbangkan jemaah dengan disabilitas dan keterbatasan mobilitas sebagai kelompok dengan kebutuhan belajar spesifik terkait aksesibilitas materi, bukan sekadar konten kesehatan semata — misalnya kebutuhan materi dalam format audio bagi jemaah dengan gangguan penglihatan.</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Seorang jemaah usia 35 tahun tanpa komorbid dan seorang jemaah usia 70 tahun dengan diabetes dan hipertensi jelas memiliki kebutuhan belajar yang sangat berbeda — segmentasi memungkinkan keduanya menerima materi inti yang sama namun modul tambahan yang berbeda sesuai profil risiko masing-masing.</w:t>
      </w:r>
    </w:p>
    <w:p>
      <w:pPr>
        <w:pStyle w:val="Heading2"/>
        <w:spacing w:after="180" w:before="360"/>
      </w:pPr>
      <w:r>
        <w:rPr>
          <w:rFonts w:ascii="Calibri" w:cs="Calibri" w:eastAsia="Calibri" w:hAnsi="Calibri"/>
          <w:b/>
          <w:bCs/>
          <w:color w:val="2E75B6"/>
          <w:sz w:val="26"/>
          <w:szCs w:val="26"/>
        </w:rPr>
        <w:t xml:space="preserve">2.4 Menerjemahkan Temuan Analisis Kebutuhan Belajar menjadi Prioritas Kurikulum</w:t>
      </w:r>
    </w:p>
    <w:p>
      <w:pPr>
        <w:spacing w:after="200" w:line="300"/>
        <w:jc w:val="both"/>
      </w:pPr>
      <w:r>
        <w:rPr>
          <w:rFonts w:ascii="Calibri" w:cs="Calibri" w:eastAsia="Calibri" w:hAnsi="Calibri"/>
          <w:i w:val="false"/>
          <w:iCs w:val="false"/>
          <w:sz w:val="24"/>
          <w:szCs w:val="24"/>
        </w:rPr>
        <w:t xml:space="preserve">Analisis kebutuhan belajar yang komprehensif akan menghasilkan daftar kesenjangan pengetahuan dan keterampilan yang panjang, sementara waktu dan sumber daya sesi manasik kesehatan terbatas. Tugas krusial penyusun kurikulum adalah memprioritaskan topik berdasarkan kombinasi tingkat urgensi keselamatan (misalnya pengenalan tanda bahaya kegawatan mengancam nyawa mendapat prioritas tertinggi) dan besarnya kesenjangan pengetahuan yang teridentifikasi dari analisis kebutuhan belajar, bukan berdasarkan preferensi subjektif penyusun kurikulum semata.</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Tim pengembang kurikulum di suatu embarkasi hipotetis melakukan survei literasi kesehatan dan wawancara dengan petugas puskesmas, menemukan bahwa kesenjangan pengetahuan terbesar calon jemaah bukan pada topik dehidrasi (yang sudah cukup dipahami dari kampanye sebelumnya), melainkan pada pengelolaan interaksi obat kronik dengan kondisi fisik ekstrem selama ibadah — temuan yang mengubah prioritas alokasi waktu kurikulum secara signifikan dibandingkan asumsi awal tim penyusun. [DATA: rujuk laporan evaluasi resmi Kemenhaj/Kemenkes terbaru untuk hasil survei literasi kesehatan aktual].</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Rancang tiga pertanyaan wawancara yang dapat Anda ajukan kepada petugas puskesmas untuk menggali kesenjangan pengetahuan calon jemaah yang paling sering mereka amati di lapangan.</w:t>
      </w:r>
    </w:p>
    <w:p>
      <w:pPr>
        <w:spacing w:after="200" w:line="300"/>
        <w:jc w:val="both"/>
      </w:pPr>
      <w:r>
        <w:rPr>
          <w:rFonts w:ascii="Calibri" w:cs="Calibri" w:eastAsia="Calibri" w:hAnsi="Calibri"/>
          <w:i w:val="false"/>
          <w:iCs w:val="false"/>
          <w:sz w:val="24"/>
          <w:szCs w:val="24"/>
        </w:rPr>
        <w:t xml:space="preserve">2. Identifikasi minimal dua segmen audiens calon jemaah dengan kebutuhan belajar yang berbeda, dan jelaskan bagaimana kurikulum berlapis dapat mengakomodasi perbedaan tersebut.</w:t>
      </w:r>
    </w:p>
    <w:p>
      <w:pPr>
        <w:spacing w:after="200" w:line="300"/>
        <w:jc w:val="both"/>
      </w:pPr>
      <w:r>
        <w:rPr>
          <w:rFonts w:ascii="Calibri" w:cs="Calibri" w:eastAsia="Calibri" w:hAnsi="Calibri"/>
          <w:i w:val="false"/>
          <w:iCs w:val="false"/>
          <w:sz w:val="24"/>
          <w:szCs w:val="24"/>
        </w:rPr>
        <w:t xml:space="preserve">3. Jelaskan kriteria yang akan Anda gunakan untuk memprioritaskan topik kurikulum ketika analisis kebutuhan belajar menghasilkan lebih banyak kesenjangan pengetahuan dibandingkan waktu sesi yang tersedia.</w:t>
      </w:r>
    </w:p>
    <w:p>
      <w:r>
        <w:br w:type="page"/>
      </w:r>
    </w:p>
    <w:p>
      <w:pPr>
        <w:pStyle w:val="Heading1"/>
        <w:spacing w:after="240" w:before="480"/>
      </w:pPr>
      <w:r>
        <w:rPr>
          <w:rFonts w:ascii="Calibri" w:cs="Calibri" w:eastAsia="Calibri" w:hAnsi="Calibri"/>
          <w:b/>
          <w:bCs/>
          <w:color w:val="1F4E79"/>
          <w:sz w:val="32"/>
          <w:szCs w:val="32"/>
        </w:rPr>
        <w:t xml:space="preserve">Bab 3. Model Pembelajaran Orang Dewasa (Andragogi) untuk Jemaah Lanjut Usia</w:t>
      </w:r>
    </w:p>
    <w:p>
      <w:pPr>
        <w:spacing w:after="200" w:line="300"/>
        <w:jc w:val="both"/>
      </w:pPr>
      <w:r>
        <w:rPr>
          <w:rFonts w:ascii="Calibri" w:cs="Calibri" w:eastAsia="Calibri" w:hAnsi="Calibri"/>
          <w:i w:val="false"/>
          <w:iCs w:val="false"/>
          <w:sz w:val="24"/>
          <w:szCs w:val="24"/>
        </w:rPr>
        <w:t xml:space="preserve">Buku C1 Bab 4 memperkenalkan prinsip dasar andragogi sebagai landasan model edukasi kesehatan haji. Bab ini memperdalam secara komprehensif penerapan prinsip pembelajaran orang dewasa, secara khusus bagi kelompok jemaah lanjut usia yang proporsinya terus meningkat dan yang secara fisiologis maupun kognitif memerlukan pendekatan pembelajaran yang disesuaikan.</w:t>
      </w:r>
    </w:p>
    <w:p>
      <w:pPr>
        <w:pStyle w:val="Heading2"/>
        <w:spacing w:after="180" w:before="360"/>
      </w:pPr>
      <w:r>
        <w:rPr>
          <w:rFonts w:ascii="Calibri" w:cs="Calibri" w:eastAsia="Calibri" w:hAnsi="Calibri"/>
          <w:b/>
          <w:bCs/>
          <w:color w:val="2E75B6"/>
          <w:sz w:val="26"/>
          <w:szCs w:val="26"/>
        </w:rPr>
        <w:t xml:space="preserve">3.1 Enam Prinsip Andragogi Knowles dan Aplikasinya</w:t>
      </w:r>
    </w:p>
    <w:p>
      <w:pPr>
        <w:spacing w:after="200" w:line="300"/>
        <w:jc w:val="both"/>
      </w:pPr>
      <w:r>
        <w:rPr>
          <w:rFonts w:ascii="Calibri" w:cs="Calibri" w:eastAsia="Calibri" w:hAnsi="Calibri"/>
          <w:i w:val="false"/>
          <w:iCs w:val="false"/>
          <w:sz w:val="24"/>
          <w:szCs w:val="24"/>
        </w:rPr>
        <w:t xml:space="preserve">Keenam prinsip berikut adalah dasar dari hampir seluruh keputusan desain sesi manasik kesehatan yang akan Anda buat — pahami masing-masing secara terpisah sebelum mengombinasikannya dalam satu sesi.</w:t>
      </w:r>
    </w:p>
    <w:p>
      <w:pPr>
        <w:pStyle w:val="Heading3"/>
        <w:spacing w:after="140" w:before="280"/>
      </w:pPr>
      <w:r>
        <w:rPr>
          <w:rFonts w:ascii="Calibri" w:cs="Calibri" w:eastAsia="Calibri" w:hAnsi="Calibri"/>
          <w:b/>
          <w:bCs/>
          <w:i/>
          <w:iCs/>
          <w:color w:val="2E75B6"/>
          <w:sz w:val="24"/>
          <w:szCs w:val="24"/>
        </w:rPr>
        <w:t xml:space="preserve">3.1.1 Kebutuhan untuk Mengetahui</w:t>
      </w:r>
    </w:p>
    <w:p>
      <w:pPr>
        <w:spacing w:after="200" w:line="300"/>
        <w:jc w:val="both"/>
      </w:pPr>
      <w:r>
        <w:rPr>
          <w:rFonts w:ascii="Calibri" w:cs="Calibri" w:eastAsia="Calibri" w:hAnsi="Calibri"/>
          <w:i w:val="false"/>
          <w:iCs w:val="false"/>
          <w:sz w:val="24"/>
          <w:szCs w:val="24"/>
        </w:rPr>
        <w:t xml:space="preserve">Orang dewasa perlu memahami mengapa mereka harus mempelajari sesuatu sebelum bersedia mempelajarinya.</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Menjelaskan 'materi ini penting karena akan membantu Bapak/Ibu menyelesaikan seluruh rangkaian ibadah tanpa gangguan kesehatan' di awal sesi, sebelum masuk ke konten, membuat peserta lebih terbuka menerima materi berikutnya.</w:t>
      </w:r>
    </w:p>
    <w:p>
      <w:pPr>
        <w:pStyle w:val="Heading3"/>
        <w:spacing w:after="140" w:before="280"/>
      </w:pPr>
      <w:r>
        <w:rPr>
          <w:rFonts w:ascii="Calibri" w:cs="Calibri" w:eastAsia="Calibri" w:hAnsi="Calibri"/>
          <w:b/>
          <w:bCs/>
          <w:i/>
          <w:iCs/>
          <w:color w:val="2E75B6"/>
          <w:sz w:val="24"/>
          <w:szCs w:val="24"/>
        </w:rPr>
        <w:t xml:space="preserve">3.1.2 Konsep Diri Pembelajar</w:t>
      </w:r>
    </w:p>
    <w:p>
      <w:pPr>
        <w:spacing w:after="200" w:line="300"/>
        <w:jc w:val="both"/>
      </w:pPr>
      <w:r>
        <w:rPr>
          <w:rFonts w:ascii="Calibri" w:cs="Calibri" w:eastAsia="Calibri" w:hAnsi="Calibri"/>
          <w:i w:val="false"/>
          <w:iCs w:val="false"/>
          <w:sz w:val="24"/>
          <w:szCs w:val="24"/>
        </w:rPr>
        <w:t xml:space="preserve">Orang dewasa memandang dirinya sebagai individu mandiri dan bertanggung jawab atas keputusannya sendiri, bukan penerima instruksi pasif.</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Memberi pilihan kepada peserta ('Bapak/Ibu bisa memilih waktu minum obat pagi atau setelah subuh, mana yang lebih sesuai rutinitas Bapak/Ibu') lebih dihargai dibandingkan instruksi kaku tunggal.</w:t>
      </w:r>
    </w:p>
    <w:p>
      <w:pPr>
        <w:pStyle w:val="Heading3"/>
        <w:spacing w:after="140" w:before="280"/>
      </w:pPr>
      <w:r>
        <w:rPr>
          <w:rFonts w:ascii="Calibri" w:cs="Calibri" w:eastAsia="Calibri" w:hAnsi="Calibri"/>
          <w:b/>
          <w:bCs/>
          <w:i/>
          <w:iCs/>
          <w:color w:val="2E75B6"/>
          <w:sz w:val="24"/>
          <w:szCs w:val="24"/>
        </w:rPr>
        <w:t xml:space="preserve">3.1.3 Peran Pengalaman</w:t>
      </w:r>
    </w:p>
    <w:p>
      <w:pPr>
        <w:spacing w:after="200" w:line="300"/>
        <w:jc w:val="both"/>
      </w:pPr>
      <w:r>
        <w:rPr>
          <w:rFonts w:ascii="Calibri" w:cs="Calibri" w:eastAsia="Calibri" w:hAnsi="Calibri"/>
          <w:i w:val="false"/>
          <w:iCs w:val="false"/>
          <w:sz w:val="24"/>
          <w:szCs w:val="24"/>
        </w:rPr>
        <w:t xml:space="preserve">Pengalaman hidup menjadi sumber belajar sekaligus kerangka referensi yang memengaruhi bagaimana informasi baru diterima.</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Bertanya kepada peserta 'apakah ada yang pernah mengalami pusing karena kurang minum saat cuaca panas?' sebelum menjelaskan tanda dehidrasi mengaktifkan pengalaman pribadi mereka sebagai jangkar belajar.</w:t>
      </w:r>
    </w:p>
    <w:p>
      <w:pPr>
        <w:pStyle w:val="Heading3"/>
        <w:spacing w:after="140" w:before="280"/>
      </w:pPr>
      <w:r>
        <w:rPr>
          <w:rFonts w:ascii="Calibri" w:cs="Calibri" w:eastAsia="Calibri" w:hAnsi="Calibri"/>
          <w:b/>
          <w:bCs/>
          <w:i/>
          <w:iCs/>
          <w:color w:val="2E75B6"/>
          <w:sz w:val="24"/>
          <w:szCs w:val="24"/>
        </w:rPr>
        <w:t xml:space="preserve">3.1.4 Kesiapan Belajar</w:t>
      </w:r>
    </w:p>
    <w:p>
      <w:pPr>
        <w:spacing w:after="200" w:line="300"/>
        <w:jc w:val="both"/>
      </w:pPr>
      <w:r>
        <w:rPr>
          <w:rFonts w:ascii="Calibri" w:cs="Calibri" w:eastAsia="Calibri" w:hAnsi="Calibri"/>
          <w:i w:val="false"/>
          <w:iCs w:val="false"/>
          <w:sz w:val="24"/>
          <w:szCs w:val="24"/>
        </w:rPr>
        <w:t xml:space="preserve">Orang dewasa siap belajar hal yang relevan dengan tugas atau peran hidup nyata mereka — dalam konteks ini, peran mereka sebagai calon jemaah yang akan segera berangkat.</w:t>
      </w:r>
    </w:p>
    <w:p>
      <w:pPr>
        <w:pStyle w:val="Heading3"/>
        <w:spacing w:after="140" w:before="280"/>
      </w:pPr>
      <w:r>
        <w:rPr>
          <w:rFonts w:ascii="Calibri" w:cs="Calibri" w:eastAsia="Calibri" w:hAnsi="Calibri"/>
          <w:b/>
          <w:bCs/>
          <w:i/>
          <w:iCs/>
          <w:color w:val="2E75B6"/>
          <w:sz w:val="24"/>
          <w:szCs w:val="24"/>
        </w:rPr>
        <w:t xml:space="preserve">3.1.5 Orientasi Belajar</w:t>
      </w:r>
    </w:p>
    <w:p>
      <w:pPr>
        <w:spacing w:after="200" w:line="300"/>
        <w:jc w:val="both"/>
      </w:pPr>
      <w:r>
        <w:rPr>
          <w:rFonts w:ascii="Calibri" w:cs="Calibri" w:eastAsia="Calibri" w:hAnsi="Calibri"/>
          <w:i w:val="false"/>
          <w:iCs w:val="false"/>
          <w:sz w:val="24"/>
          <w:szCs w:val="24"/>
        </w:rPr>
        <w:t xml:space="preserve">Orang dewasa berorientasi pada pemecahan masalah nyata, bukan penguasaan konten abstrak.</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Materi yang dibingkai sebagai 'bagaimana mengatasi jika Bapak/Ibu merasa pusing di tengah tawaf' lebih menarik dibandingkan materi berjudul abstrak 'fisiologi kelelahan panas'.</w:t>
      </w:r>
    </w:p>
    <w:p>
      <w:pPr>
        <w:pStyle w:val="Heading3"/>
        <w:spacing w:after="140" w:before="280"/>
      </w:pPr>
      <w:r>
        <w:rPr>
          <w:rFonts w:ascii="Calibri" w:cs="Calibri" w:eastAsia="Calibri" w:hAnsi="Calibri"/>
          <w:b/>
          <w:bCs/>
          <w:i/>
          <w:iCs/>
          <w:color w:val="2E75B6"/>
          <w:sz w:val="24"/>
          <w:szCs w:val="24"/>
        </w:rPr>
        <w:t xml:space="preserve">3.1.6 Motivasi Internal</w:t>
      </w:r>
    </w:p>
    <w:p>
      <w:pPr>
        <w:spacing w:after="200" w:line="300"/>
        <w:jc w:val="both"/>
      </w:pPr>
      <w:r>
        <w:rPr>
          <w:rFonts w:ascii="Calibri" w:cs="Calibri" w:eastAsia="Calibri" w:hAnsi="Calibri"/>
          <w:i w:val="false"/>
          <w:iCs w:val="false"/>
          <w:sz w:val="24"/>
          <w:szCs w:val="24"/>
        </w:rPr>
        <w:t xml:space="preserve">Motivasi belajar orang dewasa lebih didorong faktor internal seperti kepuasan diri dibandingkan faktor eksternal seperti nilai atau sertifikat.</w:t>
      </w:r>
    </w:p>
    <w:p>
      <w:pPr>
        <w:pStyle w:val="Heading2"/>
        <w:spacing w:after="180" w:before="360"/>
      </w:pPr>
      <w:r>
        <w:rPr>
          <w:rFonts w:ascii="Calibri" w:cs="Calibri" w:eastAsia="Calibri" w:hAnsi="Calibri"/>
          <w:b/>
          <w:bCs/>
          <w:color w:val="2E75B6"/>
          <w:sz w:val="26"/>
          <w:szCs w:val="26"/>
        </w:rPr>
        <w:t xml:space="preserve">3.2 Pertimbangan Kognitif dan Sensorik pada Pembelajar Lanjut Usia</w:t>
      </w:r>
    </w:p>
    <w:p>
      <w:pPr>
        <w:spacing w:after="200" w:line="300"/>
        <w:jc w:val="both"/>
      </w:pPr>
      <w:r>
        <w:rPr>
          <w:rFonts w:ascii="Calibri" w:cs="Calibri" w:eastAsia="Calibri" w:hAnsi="Calibri"/>
          <w:i w:val="false"/>
          <w:iCs w:val="false"/>
          <w:sz w:val="24"/>
          <w:szCs w:val="24"/>
        </w:rPr>
        <w:t xml:space="preserve">Selain prinsip andragogi umum di atas, ada satu lapis pertimbangan tambahan yang spesifik berlaku bagi jemaah lanjut usia dan wajib Anda perhitungkan dalam setiap keputusan desain materi.</w:t>
      </w:r>
    </w:p>
    <w:p>
      <w:pPr>
        <w:spacing w:after="200" w:line="300"/>
        <w:jc w:val="both"/>
      </w:pPr>
      <w:r>
        <w:rPr>
          <w:rFonts w:ascii="Calibri" w:cs="Calibri" w:eastAsia="Calibri" w:hAnsi="Calibri"/>
          <w:i w:val="false"/>
          <w:iCs w:val="false"/>
          <w:sz w:val="24"/>
          <w:szCs w:val="24"/>
        </w:rPr>
        <w:t xml:space="preserve">Perancang kurikulum manasik kesehatan bagi jemaah lanjut usia perlu mempertimbangkan perubahan kognitif dan sensorik terkait usia yang memengaruhi desain pembelajaran: penurunan kecepatan pemrosesan informasi (memerlukan penyampaian materi dengan tempo lebih lambat dan pengulangan yang cukup), perubahan sensorik seperti penurunan ketajaman penglihatan dan pendengaran (memerlukan desain materi visual dengan kontras tinggi dan ukuran huruf besar, serta volume suara yang memadai), dan perubahan memori kerja (memerlukan pemecahan informasi kompleks menjadi unit-unit kecil yang lebih mudah diingat, atau chunking).</w:t>
      </w:r>
    </w:p>
    <w:p>
      <w:pPr>
        <w:spacing w:after="200" w:line="300"/>
        <w:jc w:val="both"/>
      </w:pPr>
      <w:r>
        <w:rPr>
          <w:rFonts w:ascii="Calibri" w:cs="Calibri" w:eastAsia="Calibri" w:hAnsi="Calibri"/>
          <w:i w:val="false"/>
          <w:iCs w:val="false"/>
          <w:sz w:val="24"/>
          <w:szCs w:val="24"/>
        </w:rPr>
        <w:t xml:space="preserve">Pertimbangan ini bukan berarti menyederhanakan substansi materi secara berlebihan, melainkan menyesuaikan cara penyampaian agar substansi yang sama dapat diserap secara optimal oleh pembelajar lanjut usia — perbedaan mendasar antara menyesuaikan metode penyampaian dan mengurangi kedalaman substansi.</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Alih-alih menyampaikan lima tanda bahaya sekaligus dalam satu kalimat panjang, fasilitator memecahnya menjadi 'mari kita bahas tanda pertama dulu... baik, sekarang tanda kedua' dengan jeda dan pengulangan di setiap unit — pendekatan chunking yang jauh lebih mudah diikuti pembelajar lanjut usia.</w:t>
      </w:r>
    </w:p>
    <w:p>
      <w:pPr>
        <w:pStyle w:val="Heading2"/>
        <w:spacing w:after="180" w:before="360"/>
      </w:pPr>
      <w:r>
        <w:rPr>
          <w:rFonts w:ascii="Calibri" w:cs="Calibri" w:eastAsia="Calibri" w:hAnsi="Calibri"/>
          <w:b/>
          <w:bCs/>
          <w:color w:val="2E75B6"/>
          <w:sz w:val="26"/>
          <w:szCs w:val="26"/>
        </w:rPr>
        <w:t xml:space="preserve">3.3 Metode Pembelajaran Partisipatif yang Sesuai untuk Jemaah Lanjut Usia</w:t>
      </w:r>
    </w:p>
    <w:p>
      <w:pPr>
        <w:spacing w:after="200" w:line="300"/>
        <w:jc w:val="both"/>
      </w:pPr>
      <w:r>
        <w:rPr>
          <w:rFonts w:ascii="Calibri" w:cs="Calibri" w:eastAsia="Calibri" w:hAnsi="Calibri"/>
          <w:i w:val="false"/>
          <w:iCs w:val="false"/>
          <w:sz w:val="24"/>
          <w:szCs w:val="24"/>
        </w:rPr>
        <w:t xml:space="preserve">Berbekal pemahaman dua sub-bab sebelumnya, berikut adalah metode konkret yang dapat langsung Anda terapkan di lapangan.</w:t>
      </w:r>
    </w:p>
    <w:p>
      <w:pPr>
        <w:spacing w:after="200" w:line="300"/>
        <w:jc w:val="both"/>
      </w:pPr>
      <w:r>
        <w:rPr>
          <w:rFonts w:ascii="Calibri" w:cs="Calibri" w:eastAsia="Calibri" w:hAnsi="Calibri"/>
          <w:i w:val="false"/>
          <w:iCs w:val="false"/>
          <w:sz w:val="24"/>
          <w:szCs w:val="24"/>
        </w:rPr>
        <w:t xml:space="preserve">Metode pembelajaran partisipatif yang terbukti efektif bagi pembelajar dewasa dan lanjut usia mencakup demonstrasi langsung dengan kesempatan praktik ulang (return demonstration), diskusi kelompok kecil yang memanfaatkan pengalaman hidup peserta, penggunaan alat bantu visual konkret (misalnya kotak obat mingguan fisik, bukan hanya ilustrasi), dan simulasi skenario yang mendekati situasi nyata yang akan dihadapi jemaah di lapangan.</w:t>
      </w:r>
    </w:p>
    <w:p>
      <w:pPr>
        <w:spacing w:after="200" w:line="300"/>
        <w:jc w:val="both"/>
      </w:pPr>
      <w:r>
        <w:rPr>
          <w:rFonts w:ascii="Calibri" w:cs="Calibri" w:eastAsia="Calibri" w:hAnsi="Calibri"/>
          <w:i w:val="false"/>
          <w:iCs w:val="false"/>
          <w:sz w:val="24"/>
          <w:szCs w:val="24"/>
        </w:rPr>
        <w:t xml:space="preserve">Metode ceramah satu arah, meski paling mudah dan efisien dari sisi penyelenggaraan, umumnya paling tidak efektif bagi pembelajar lanjut usia dibandingkan metode partisipatif, sebagaimana diilustrasikan pada studi kasus Buku C1 Bab 4. Tantangan praktis penerapan metode partisipatif pada skala nasional dengan keterbatasan waktu dan jumlah fasilitator akan dibahas pada Bab 4 dan 5 buku ini.</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Sebagai gambaran konkret, fasilitator membawa kotak obat mingguan fisik ke sesi manasik dan meminta setiap peserta bergiliran mempraktikkan cara mengisinya sesuai jadwal obat masing-masing, dengan umpan balik langsung — jauh lebih berkesan dibandingkan hanya menunjukkan gambar kotak obat di layar.</w:t>
      </w:r>
    </w:p>
    <w:p>
      <w:pPr>
        <w:pStyle w:val="Heading2"/>
        <w:spacing w:after="180" w:before="360"/>
      </w:pPr>
      <w:r>
        <w:rPr>
          <w:rFonts w:ascii="Calibri" w:cs="Calibri" w:eastAsia="Calibri" w:hAnsi="Calibri"/>
          <w:b/>
          <w:bCs/>
          <w:color w:val="2E75B6"/>
          <w:sz w:val="26"/>
          <w:szCs w:val="26"/>
        </w:rPr>
        <w:t xml:space="preserve">3.4 Mengelola Heterogenitas dalam Kelompok Belajar Lanjut Usia</w:t>
      </w:r>
    </w:p>
    <w:p>
      <w:pPr>
        <w:spacing w:after="200" w:line="300"/>
        <w:jc w:val="both"/>
      </w:pPr>
      <w:r>
        <w:rPr>
          <w:rFonts w:ascii="Calibri" w:cs="Calibri" w:eastAsia="Calibri" w:hAnsi="Calibri"/>
          <w:i w:val="false"/>
          <w:iCs w:val="false"/>
          <w:sz w:val="24"/>
          <w:szCs w:val="24"/>
        </w:rPr>
        <w:t xml:space="preserve">Meski berbagi karakteristik usia lanjut, kelompok jemaah lanjut usia tetap heterogen dalam tingkat pendidikan, pengalaman hidup, dan status kesehatan. Fasilitator manasik kesehatan perlu dilatih mengelola heterogenitas ini melalui teknik diferensiasi sederhana — misalnya menyediakan pertanyaan diskusi berjenjang tingkat kesulitan, atau membentuk kelompok kecil yang mencampur peserta dengan tingkat pemahaman berbeda sehingga peserta dapat saling membantu (peer learning), sebuah teknik yang sekaligus selaras dengan prinsip menghormati pengalaman hidup peserta sebagai sumber belajar.</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Fasilitator KBIHU hipotetis merancang sesi manasik kesehatan tentang pengelolaan obat kronik khusus bagi kelompok jemaah lanjut usia, menggunakan kotak obat mingguan fisik sebagai alat bantu, tempo penyampaian yang lebih lambat dengan pengulangan poin kunci, dan sesi praktik langsung mengisi kotak obat yang diikuti umpan balik individual. Evaluasi pasca sesi menunjukkan peningkatan kepercayaan diri peserta dalam mengelola jadwal obat dibandingkan sesi ceramah konvensional yang pernah dilakukan sebelumnya. [DATA: rujuk laporan evaluasi resmi Kemenhaj/Kemenkes terbaru untuk hasil komparasi metode pembelajaran aktual].</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Pilih satu dari enam prinsip andragogi Knowles, dan jelaskan bagaimana prinsip tersebut secara spesifik dapat diterapkan dalam merancang sesi manasik kesehatan bagi jemaah lanjut usia.</w:t>
      </w:r>
    </w:p>
    <w:p>
      <w:pPr>
        <w:spacing w:after="200" w:line="300"/>
        <w:jc w:val="both"/>
      </w:pPr>
      <w:r>
        <w:rPr>
          <w:rFonts w:ascii="Calibri" w:cs="Calibri" w:eastAsia="Calibri" w:hAnsi="Calibri"/>
          <w:i w:val="false"/>
          <w:iCs w:val="false"/>
          <w:sz w:val="24"/>
          <w:szCs w:val="24"/>
        </w:rPr>
        <w:t xml:space="preserve">2. Identifikasi minimal dua penyesuaian desain materi visual yang perlu dilakukan untuk mengakomodasi perubahan sensorik terkait usia pada jemaah lanjut usia.</w:t>
      </w:r>
    </w:p>
    <w:p>
      <w:pPr>
        <w:spacing w:after="200" w:line="300"/>
        <w:jc w:val="both"/>
      </w:pPr>
      <w:r>
        <w:rPr>
          <w:rFonts w:ascii="Calibri" w:cs="Calibri" w:eastAsia="Calibri" w:hAnsi="Calibri"/>
          <w:i w:val="false"/>
          <w:iCs w:val="false"/>
          <w:sz w:val="24"/>
          <w:szCs w:val="24"/>
        </w:rPr>
        <w:t xml:space="preserve">3. Rancang satu teknik diferensiasi sederhana untuk mengelola heterogenitas tingkat pemahaman dalam satu kelompok belajar jemaah lanjut usia.</w:t>
      </w:r>
    </w:p>
    <w:p>
      <w:r>
        <w:br w:type="page"/>
      </w:r>
    </w:p>
    <w:p>
      <w:pPr>
        <w:pStyle w:val="Heading1"/>
        <w:spacing w:after="240" w:before="480"/>
      </w:pPr>
      <w:r>
        <w:rPr>
          <w:rFonts w:ascii="Calibri" w:cs="Calibri" w:eastAsia="Calibri" w:hAnsi="Calibri"/>
          <w:b/>
          <w:bCs/>
          <w:color w:val="1F4E79"/>
          <w:sz w:val="32"/>
          <w:szCs w:val="32"/>
        </w:rPr>
        <w:t xml:space="preserve">Bab 4. Pengembangan Materi Ajar Multimedia dan Cetak untuk KBIHU/Puskesmas</w:t>
      </w:r>
    </w:p>
    <w:p>
      <w:pPr>
        <w:spacing w:after="200" w:line="300"/>
        <w:jc w:val="both"/>
      </w:pPr>
      <w:r>
        <w:rPr>
          <w:rFonts w:ascii="Calibri" w:cs="Calibri" w:eastAsia="Calibri" w:hAnsi="Calibri"/>
          <w:i w:val="false"/>
          <w:iCs w:val="false"/>
          <w:sz w:val="24"/>
          <w:szCs w:val="24"/>
        </w:rPr>
        <w:t xml:space="preserve">Kurikulum yang dirancang dengan baik memerlukan materi ajar pendukung yang efektif dan dapat direplikasi secara konsisten oleh ribuan KBIHU dan puskesmas di seluruh Indonesia. Bab ini membahas prinsip pengembangan materi ajar multimedia dan cetak yang sesuai dengan prinsip desain kurikulum dan model andragogi yang telah dibahas pada bab-bab sebelumnya.</w:t>
      </w:r>
    </w:p>
    <w:p>
      <w:pPr>
        <w:pStyle w:val="Heading2"/>
        <w:spacing w:after="180" w:before="360"/>
      </w:pPr>
      <w:r>
        <w:rPr>
          <w:rFonts w:ascii="Calibri" w:cs="Calibri" w:eastAsia="Calibri" w:hAnsi="Calibri"/>
          <w:b/>
          <w:bCs/>
          <w:color w:val="2E75B6"/>
          <w:sz w:val="26"/>
          <w:szCs w:val="26"/>
        </w:rPr>
        <w:t xml:space="preserve">4.1 Prinsip Desain Materi Cetak yang Efektif bagi Audiens Heterogen</w:t>
      </w:r>
    </w:p>
    <w:p>
      <w:pPr>
        <w:spacing w:after="200" w:line="300"/>
        <w:jc w:val="both"/>
      </w:pPr>
      <w:r>
        <w:rPr>
          <w:rFonts w:ascii="Calibri" w:cs="Calibri" w:eastAsia="Calibri" w:hAnsi="Calibri"/>
          <w:i w:val="false"/>
          <w:iCs w:val="false"/>
          <w:sz w:val="24"/>
          <w:szCs w:val="24"/>
        </w:rPr>
        <w:t xml:space="preserve">Sebelum mendesain satu leaflet pun, ketiga prinsip berikut perlu menjadi acuan wajib mengingat heterogenitas audiens yang telah dibahas pada Bab 2.</w:t>
      </w:r>
    </w:p>
    <w:p>
      <w:pPr>
        <w:spacing w:after="200" w:line="300"/>
        <w:jc w:val="both"/>
      </w:pPr>
      <w:r>
        <w:rPr>
          <w:rFonts w:ascii="Calibri" w:cs="Calibri" w:eastAsia="Calibri" w:hAnsi="Calibri"/>
          <w:i w:val="false"/>
          <w:iCs w:val="false"/>
          <w:sz w:val="24"/>
          <w:szCs w:val="24"/>
        </w:rPr>
        <w:t xml:space="preserve">Materi cetak manasik kesehatan — leaflet, poster, buku saku jemaah — perlu dirancang dengan prinsip literasi visual yang mempertimbangkan heterogenitas tingkat literasi dan usia audiens: penggunaan ilustrasi konkret dan familiar (bukan diagram abstrak), teks dengan ukuran huruf besar dan kontras tinggi mengikuti pertimbangan sensorik pada Bab 3, serta struktur informasi yang mengikuti urutan langkah tindakan yang jelas (misalnya format 'jika mengalami A, lakukan B, C, D secara berurutan') dibandingkan paragraf naratif panjang.</w:t>
      </w:r>
    </w:p>
    <w:p>
      <w:pPr>
        <w:spacing w:after="200" w:line="300"/>
        <w:jc w:val="both"/>
      </w:pPr>
      <w:r>
        <w:rPr>
          <w:rFonts w:ascii="Calibri" w:cs="Calibri" w:eastAsia="Calibri" w:hAnsi="Calibri"/>
          <w:i w:val="false"/>
          <w:iCs w:val="false"/>
          <w:sz w:val="24"/>
          <w:szCs w:val="24"/>
        </w:rPr>
        <w:t xml:space="preserve">Prinsip 'satu pesan kunci per halaman' juga penting diterapkan mengingat keterbatasan memori kerja pembelajar lanjut usia — materi cetak yang memuat terlalu banyak pesan dalam satu halaman berisiko membuat pesan paling penting justru terlewatkan atau tidak diingat.</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Sebuah leaflet yang mencoba memuat lima topik berbeda dalam satu halaman penuh teks kecil akan sulit diingat. Leaflet yang lebih efektif memuat satu topik saja per halaman — misalnya satu halaman khusus 'tanda bahaya dehidrasi' dengan ilustrasi besar dan tiga langkah tindakan bernomor.</w:t>
      </w:r>
    </w:p>
    <w:p>
      <w:pPr>
        <w:pStyle w:val="Heading2"/>
        <w:spacing w:after="180" w:before="360"/>
      </w:pPr>
      <w:r>
        <w:rPr>
          <w:rFonts w:ascii="Calibri" w:cs="Calibri" w:eastAsia="Calibri" w:hAnsi="Calibri"/>
          <w:b/>
          <w:bCs/>
          <w:color w:val="2E75B6"/>
          <w:sz w:val="26"/>
          <w:szCs w:val="26"/>
        </w:rPr>
        <w:t xml:space="preserve">4.2 Materi Multimedia: Video, Audio, dan Platform Digital</w:t>
      </w:r>
    </w:p>
    <w:p>
      <w:pPr>
        <w:spacing w:after="200" w:line="300"/>
        <w:jc w:val="both"/>
      </w:pPr>
      <w:r>
        <w:rPr>
          <w:rFonts w:ascii="Calibri" w:cs="Calibri" w:eastAsia="Calibri" w:hAnsi="Calibri"/>
          <w:i w:val="false"/>
          <w:iCs w:val="false"/>
          <w:sz w:val="24"/>
          <w:szCs w:val="24"/>
        </w:rPr>
        <w:t xml:space="preserve">Ketika materi cetak tidak cukup untuk mendemonstrasikan keterampilan praktis, format berikut menjadi pelengkap penting yang perlu dipertimbangkan sejak awal, bukan sebagai materi tambahan belakangan.</w:t>
      </w:r>
    </w:p>
    <w:p>
      <w:pPr>
        <w:spacing w:after="200" w:line="300"/>
        <w:jc w:val="both"/>
      </w:pPr>
      <w:r>
        <w:rPr>
          <w:rFonts w:ascii="Calibri" w:cs="Calibri" w:eastAsia="Calibri" w:hAnsi="Calibri"/>
          <w:i w:val="false"/>
          <w:iCs w:val="false"/>
          <w:sz w:val="24"/>
          <w:szCs w:val="24"/>
        </w:rPr>
        <w:t xml:space="preserve">Materi multimedia menawarkan keunggulan dalam mendemonstrasikan keterampilan praktis (misalnya video cara memeriksa tanda dehidrasi) yang sulit disampaikan secara efektif melalui materi cetak semata. Pengembangan materi video manasik kesehatan perlu mempertimbangkan durasi yang singkat (idealnya di bawah lima menit per topik untuk menjaga perhatian), penggunaan bahasa dan aksen yang familiar bagi audiens Indonesia dari berbagai daerah, serta narasi yang secara konsisten menghubungkan tindakan kesehatan dengan tujuan spiritual ibadah, sejalan dengan prinsip framing pada Buku C1 Bab 4.</w:t>
      </w:r>
    </w:p>
    <w:p>
      <w:pPr>
        <w:spacing w:after="200" w:line="300"/>
        <w:jc w:val="both"/>
      </w:pPr>
      <w:r>
        <w:rPr>
          <w:rFonts w:ascii="Calibri" w:cs="Calibri" w:eastAsia="Calibri" w:hAnsi="Calibri"/>
          <w:i w:val="false"/>
          <w:iCs w:val="false"/>
          <w:sz w:val="24"/>
          <w:szCs w:val="24"/>
        </w:rPr>
        <w:t xml:space="preserve">Materi audio, meski kurang mendapat perhatian dibandingkan video, memiliki keunggulan aksesibilitas bagi jemaah dengan keterbatasan penglihatan atau tingkat literasi baca rendah, serta dapat didengarkan sambil beraktivitas — pertimbangan aksesibilitas yang perlu menjadi bagian integral strategi materi multimedia, bukan sebagai materi pelengkap sekunder.</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Video singkat berdurasi tiga menit yang menunjukkan seorang aktor memeriksa warna urinenya sendiri dan bereaksi sesuai tingkat kepekatannya jauh lebih mudah diingat dan ditiru dibandingkan deskripsi tertulis panjang tentang tanda-tanda dehidrasi.</w:t>
      </w:r>
    </w:p>
    <w:p>
      <w:pPr>
        <w:pStyle w:val="Heading2"/>
        <w:spacing w:after="180" w:before="360"/>
      </w:pPr>
      <w:r>
        <w:rPr>
          <w:rFonts w:ascii="Calibri" w:cs="Calibri" w:eastAsia="Calibri" w:hAnsi="Calibri"/>
          <w:b/>
          <w:bCs/>
          <w:color w:val="2E75B6"/>
          <w:sz w:val="26"/>
          <w:szCs w:val="26"/>
        </w:rPr>
        <w:t xml:space="preserve">4.3 Menjaga Konsistensi Konten Lintas Format dan Lintas Wilayah</w:t>
      </w:r>
    </w:p>
    <w:p>
      <w:pPr>
        <w:spacing w:after="200" w:line="300"/>
        <w:jc w:val="both"/>
      </w:pPr>
      <w:r>
        <w:rPr>
          <w:rFonts w:ascii="Calibri" w:cs="Calibri" w:eastAsia="Calibri" w:hAnsi="Calibri"/>
          <w:i w:val="false"/>
          <w:iCs w:val="false"/>
          <w:sz w:val="24"/>
          <w:szCs w:val="24"/>
        </w:rPr>
        <w:t xml:space="preserve">Tantangan signifikan dalam pengembangan materi ajar skala nasional adalah menjaga konsistensi pesan kunci lintas berbagai format (cetak, video, audio, digital) dan lintas ribuan titik distribusi KBIHU dan puskesmas, sembari tetap memungkinkan adaptasi bahasa daerah dan konteks budaya lokal yang dapat meningkatkan penerimaan pesan. Strategi yang direkomendasikan adalah menyusun 'materi inti' yang wajib konsisten secara substansi (pesan kunci dan instruksi tindakan) dengan panduan adaptasi yang jelas mengenai elemen mana yang dapat disesuaikan secara lokal (bahasa, contoh kontekstual) dan elemen mana yang tidak boleh diubah (instruksi keselamatan inti).</w:t>
      </w:r>
    </w:p>
    <w:p>
      <w:pPr>
        <w:spacing w:after="200" w:line="300"/>
        <w:jc w:val="both"/>
      </w:pPr>
      <w:r>
        <w:rPr>
          <w:rFonts w:ascii="Calibri" w:cs="Calibri" w:eastAsia="Calibri" w:hAnsi="Calibri"/>
          <w:i w:val="false"/>
          <w:iCs w:val="false"/>
          <w:sz w:val="24"/>
          <w:szCs w:val="24"/>
        </w:rPr>
        <w:t xml:space="preserve">Pendekatan ini sejalan dengan rekomendasi glosarium terpadu pada dokumen perencanaan ekosistem pendidikan kedokteran haji, yang menekankan konsistensi terminologi lintas seluruh materi sebagai instrumen kendali mutu.</w:t>
      </w:r>
    </w:p>
    <w:p>
      <w:pPr>
        <w:pStyle w:val="Heading2"/>
        <w:spacing w:after="180" w:before="360"/>
      </w:pPr>
      <w:r>
        <w:rPr>
          <w:rFonts w:ascii="Calibri" w:cs="Calibri" w:eastAsia="Calibri" w:hAnsi="Calibri"/>
          <w:b/>
          <w:bCs/>
          <w:color w:val="2E75B6"/>
          <w:sz w:val="26"/>
          <w:szCs w:val="26"/>
        </w:rPr>
        <w:t xml:space="preserve">4.4 Uji Keterbacaan dan Uji Coba Materi Sebelum Distribusi Massal</w:t>
      </w:r>
    </w:p>
    <w:p>
      <w:pPr>
        <w:spacing w:after="200" w:line="300"/>
        <w:jc w:val="both"/>
      </w:pPr>
      <w:r>
        <w:rPr>
          <w:rFonts w:ascii="Calibri" w:cs="Calibri" w:eastAsia="Calibri" w:hAnsi="Calibri"/>
          <w:i w:val="false"/>
          <w:iCs w:val="false"/>
          <w:sz w:val="24"/>
          <w:szCs w:val="24"/>
        </w:rPr>
        <w:t xml:space="preserve">Sebelum didistribusikan secara nasional, materi ajar idealnya melalui uji keterbacaan (readability testing) dengan sampel representatif calon jemaah dari berbagai tingkat literasi dan usia, untuk memastikan pesan kunci benar-benar dipahami sebagaimana dimaksud. Uji coba ini dapat mengungkap masalah yang tidak terprediksi oleh tim penyusun materi — misalnya istilah yang dianggap familiar oleh tim penyusun ternyata membingungkan sebagian besar calon jemaah dari latar belakang tertentu, atau ilustrasi yang dimaksudkan menggambarkan tindakan tertentu justru disalahartikan.</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Tim pengembang materi hipotetis merancang buku saku jemaah dengan format 'jika-maka' untuk topik pengenalan tanda bahaya, namun uji keterbacaan awal dengan sampel calon jemaah lanjut usia mengungkap bahwa ikon yang digunakan untuk menandakan 'kondisi darurat' disalahartikan sebagai simbol yang tidak relevan oleh sebagian besar peserta uji coba. Tim merevisi ikon tersebut berdasarkan masukan langsung peserta sebelum materi didistribusikan secara nasional, mencegah potensi kesalahpahaman pesan keselamatan penting di lapangan. [DATA: rujuk laporan evaluasi resmi Kemenhaj/Kemenkes terbaru untuk hasil uji keterbacaan aktual].</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Rancang kerangka satu halaman leaflet dengan format 'jika-maka' untuk topik pengenalan tanda bahaya kelelahan panas (heat exhaustion), menerapkan prinsip satu pesan kunci per halaman.</w:t>
      </w:r>
    </w:p>
    <w:p>
      <w:pPr>
        <w:spacing w:after="200" w:line="300"/>
        <w:jc w:val="both"/>
      </w:pPr>
      <w:r>
        <w:rPr>
          <w:rFonts w:ascii="Calibri" w:cs="Calibri" w:eastAsia="Calibri" w:hAnsi="Calibri"/>
          <w:i w:val="false"/>
          <w:iCs w:val="false"/>
          <w:sz w:val="24"/>
          <w:szCs w:val="24"/>
        </w:rPr>
        <w:t xml:space="preserve">2. Identifikasi elemen materi ajar yang menurut Anda sebaiknya bersifat 'inti dan konsisten secara nasional' versus elemen yang dapat diadaptasi secara lokal, untuk topik pengelolaan obat kronik.</w:t>
      </w:r>
    </w:p>
    <w:p>
      <w:pPr>
        <w:spacing w:after="200" w:line="300"/>
        <w:jc w:val="both"/>
      </w:pPr>
      <w:r>
        <w:rPr>
          <w:rFonts w:ascii="Calibri" w:cs="Calibri" w:eastAsia="Calibri" w:hAnsi="Calibri"/>
          <w:i w:val="false"/>
          <w:iCs w:val="false"/>
          <w:sz w:val="24"/>
          <w:szCs w:val="24"/>
        </w:rPr>
        <w:t xml:space="preserve">3. Jelaskan mengapa uji keterbacaan dengan sampel representatif calon jemaah penting dilakukan sebelum distribusi massal materi ajar, dan berikan contoh risiko yang dapat dicegah melalui uji coba tersebut.</w:t>
      </w:r>
    </w:p>
    <w:p>
      <w:r>
        <w:br w:type="page"/>
      </w:r>
    </w:p>
    <w:p>
      <w:pPr>
        <w:pStyle w:val="Heading1"/>
        <w:spacing w:after="240" w:before="480"/>
      </w:pPr>
      <w:r>
        <w:rPr>
          <w:rFonts w:ascii="Calibri" w:cs="Calibri" w:eastAsia="Calibri" w:hAnsi="Calibri"/>
          <w:b/>
          <w:bCs/>
          <w:color w:val="1F4E79"/>
          <w:sz w:val="32"/>
          <w:szCs w:val="32"/>
        </w:rPr>
        <w:t xml:space="preserve">Bab 5. Pelatihan Kader Kesehatan (Training of Trainers)</w:t>
      </w:r>
    </w:p>
    <w:p>
      <w:pPr>
        <w:spacing w:after="200" w:line="300"/>
        <w:jc w:val="both"/>
      </w:pPr>
      <w:r>
        <w:rPr>
          <w:rFonts w:ascii="Calibri" w:cs="Calibri" w:eastAsia="Calibri" w:hAnsi="Calibri"/>
          <w:i w:val="false"/>
          <w:iCs w:val="false"/>
          <w:sz w:val="24"/>
          <w:szCs w:val="24"/>
        </w:rPr>
        <w:t xml:space="preserve">Kurikulum dan materi ajar yang dirancang dengan baik tidak akan efektif tanpa fasilitator lapangan — kader kesehatan KBIHU dan puskesmas — yang terlatih menyampaikannya secara konsisten dan berkualitas. Bab ini membahas prinsip pengembangan program Training of Trainers (ToT) yang menjadi jembatan antara kurikulum yang dirancang di tingkat pusat dan implementasi di ribuan titik pelaksanaan manasik kesehatan di seluruh Indonesia.</w:t>
      </w:r>
    </w:p>
    <w:p>
      <w:pPr>
        <w:pStyle w:val="Heading2"/>
        <w:spacing w:after="180" w:before="360"/>
      </w:pPr>
      <w:r>
        <w:rPr>
          <w:rFonts w:ascii="Calibri" w:cs="Calibri" w:eastAsia="Calibri" w:hAnsi="Calibri"/>
          <w:b/>
          <w:bCs/>
          <w:color w:val="2E75B6"/>
          <w:sz w:val="26"/>
          <w:szCs w:val="26"/>
        </w:rPr>
        <w:t xml:space="preserve">5.1 Mengapa ToT adalah Titik Kritis Keberhasilan Program Skala Nasional</w:t>
      </w:r>
    </w:p>
    <w:p>
      <w:pPr>
        <w:spacing w:after="200" w:line="300"/>
        <w:jc w:val="both"/>
      </w:pPr>
      <w:r>
        <w:rPr>
          <w:rFonts w:ascii="Calibri" w:cs="Calibri" w:eastAsia="Calibri" w:hAnsi="Calibri"/>
          <w:i w:val="false"/>
          <w:iCs w:val="false"/>
          <w:sz w:val="24"/>
          <w:szCs w:val="24"/>
        </w:rPr>
        <w:t xml:space="preserve">Sebagaimana teridentifikasi melalui dimensi 'Implementation' dalam kerangka RE-AIM yang dibahas pada Buku C2 Bab 1, konsistensi pelaksanaan program di seluruh unit pelaksana adalah faktor penentu keberhasilan program berskala nasional. Kualitas dan konsistensi pelatihan kader (ToT) secara langsung menentukan sejauh mana kurikulum yang dirancang dengan cermat di tingkat pusat benar-benar tersampaikan sesuai desain di tingkat KBIHU dan puskesmas, mengingat variasi kualitas penyampaian antar fasilitator adalah salah satu sumber utama variasi hasil program antar wilayah, sebagaimana diilustrasikan pada studi kasus Buku C2 Bab 3.</w:t>
      </w:r>
    </w:p>
    <w:p>
      <w:pPr>
        <w:pStyle w:val="Heading2"/>
        <w:spacing w:after="180" w:before="360"/>
      </w:pPr>
      <w:r>
        <w:rPr>
          <w:rFonts w:ascii="Calibri" w:cs="Calibri" w:eastAsia="Calibri" w:hAnsi="Calibri"/>
          <w:b/>
          <w:bCs/>
          <w:color w:val="2E75B6"/>
          <w:sz w:val="26"/>
          <w:szCs w:val="26"/>
        </w:rPr>
        <w:t xml:space="preserve">5.2 Kompetensi Inti yang Perlu Dimiliki Kader Kesehatan Manasik</w:t>
      </w:r>
    </w:p>
    <w:p>
      <w:pPr>
        <w:spacing w:after="200" w:line="300"/>
        <w:jc w:val="both"/>
      </w:pPr>
      <w:r>
        <w:rPr>
          <w:rFonts w:ascii="Calibri" w:cs="Calibri" w:eastAsia="Calibri" w:hAnsi="Calibri"/>
          <w:i w:val="false"/>
          <w:iCs w:val="false"/>
          <w:sz w:val="24"/>
          <w:szCs w:val="24"/>
        </w:rPr>
        <w:t xml:space="preserve">Ketiga kelompok kompetensi berikut wajib dimiliki bersama-sama — kekuatan pada satu kelompok saja tidak cukup untuk menjadikan seorang kader benar-benar kompeten.</w:t>
      </w:r>
    </w:p>
    <w:p>
      <w:pPr>
        <w:pStyle w:val="Heading3"/>
        <w:spacing w:after="140" w:before="280"/>
      </w:pPr>
      <w:r>
        <w:rPr>
          <w:rFonts w:ascii="Calibri" w:cs="Calibri" w:eastAsia="Calibri" w:hAnsi="Calibri"/>
          <w:b/>
          <w:bCs/>
          <w:i/>
          <w:iCs/>
          <w:color w:val="2E75B6"/>
          <w:sz w:val="24"/>
          <w:szCs w:val="24"/>
        </w:rPr>
        <w:t xml:space="preserve">5.2.1 Pengetahuan Substansi Kesehatan yang Akurat</w:t>
      </w:r>
    </w:p>
    <w:p>
      <w:pPr>
        <w:spacing w:after="200" w:line="300"/>
        <w:jc w:val="both"/>
      </w:pPr>
      <w:r>
        <w:rPr>
          <w:rFonts w:ascii="Calibri" w:cs="Calibri" w:eastAsia="Calibri" w:hAnsi="Calibri"/>
          <w:i w:val="false"/>
          <w:iCs w:val="false"/>
          <w:sz w:val="24"/>
          <w:szCs w:val="24"/>
        </w:rPr>
        <w:t xml:space="preserve">Kader memerlukan pengetahuan substansi kesehatan yang akurat, meski tidak perlu sedalam pengetahuan dokter.</w:t>
      </w:r>
    </w:p>
    <w:p>
      <w:pPr>
        <w:pStyle w:val="Heading3"/>
        <w:spacing w:after="140" w:before="280"/>
      </w:pPr>
      <w:r>
        <w:rPr>
          <w:rFonts w:ascii="Calibri" w:cs="Calibri" w:eastAsia="Calibri" w:hAnsi="Calibri"/>
          <w:b/>
          <w:bCs/>
          <w:i/>
          <w:iCs/>
          <w:color w:val="2E75B6"/>
          <w:sz w:val="24"/>
          <w:szCs w:val="24"/>
        </w:rPr>
        <w:t xml:space="preserve">5.2.2 Keterampilan Fasilitasi Pembelajaran Orang Dewasa</w:t>
      </w:r>
    </w:p>
    <w:p>
      <w:pPr>
        <w:spacing w:after="200" w:line="300"/>
        <w:jc w:val="both"/>
      </w:pPr>
      <w:r>
        <w:rPr>
          <w:rFonts w:ascii="Calibri" w:cs="Calibri" w:eastAsia="Calibri" w:hAnsi="Calibri"/>
          <w:i w:val="false"/>
          <w:iCs w:val="false"/>
          <w:sz w:val="24"/>
          <w:szCs w:val="24"/>
        </w:rPr>
        <w:t xml:space="preserve">Kader perlu terampil menerapkan prinsip andragogi sesuai Bab 3 buku ini, bukan sekadar menghafal dan membacakan materi.</w:t>
      </w:r>
    </w:p>
    <w:p>
      <w:pPr>
        <w:pStyle w:val="Heading3"/>
        <w:spacing w:after="140" w:before="280"/>
      </w:pPr>
      <w:r>
        <w:rPr>
          <w:rFonts w:ascii="Calibri" w:cs="Calibri" w:eastAsia="Calibri" w:hAnsi="Calibri"/>
          <w:b/>
          <w:bCs/>
          <w:i/>
          <w:iCs/>
          <w:color w:val="2E75B6"/>
          <w:sz w:val="24"/>
          <w:szCs w:val="24"/>
        </w:rPr>
        <w:t xml:space="preserve">5.2.3 Kemampuan Mengenali Batas Kewenangan</w:t>
      </w:r>
    </w:p>
    <w:p>
      <w:pPr>
        <w:spacing w:after="200" w:line="300"/>
        <w:jc w:val="both"/>
      </w:pPr>
      <w:r>
        <w:rPr>
          <w:rFonts w:ascii="Calibri" w:cs="Calibri" w:eastAsia="Calibri" w:hAnsi="Calibri"/>
          <w:i w:val="false"/>
          <w:iCs w:val="false"/>
          <w:sz w:val="24"/>
          <w:szCs w:val="24"/>
        </w:rPr>
        <w:t xml:space="preserve">Kader perlu mampu mengenali kapan suatu situasi memerlukan rujukan kepada tenaga kesehatan profesional dibandingkan dapat ditangani melalui edukasi mandiri. Kompetensi ini seringkali kurang mendapat perhatian dalam program ToT, padahal krusial untuk mencegah kader memberikan saran kesehatan di luar kewenangan mereka yang berpotensi membahayakan jemaah.</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Seorang kader yang kompeten akan mengenali bahwa keluhan nyeri dada yang disampaikan jemaah selama sesi konsultasi bukan sesuatu yang bisa ia tangani sendiri dengan saran umum, melainkan harus segera dirujuk ke petugas puskesmas atau dokter — bukan justru mencoba memberikan diagnosis atau saran pengobatan sendiri.</w:t>
      </w:r>
    </w:p>
    <w:p>
      <w:pPr>
        <w:pStyle w:val="Heading2"/>
        <w:spacing w:after="180" w:before="360"/>
      </w:pPr>
      <w:r>
        <w:rPr>
          <w:rFonts w:ascii="Calibri" w:cs="Calibri" w:eastAsia="Calibri" w:hAnsi="Calibri"/>
          <w:b/>
          <w:bCs/>
          <w:color w:val="2E75B6"/>
          <w:sz w:val="26"/>
          <w:szCs w:val="26"/>
        </w:rPr>
        <w:t xml:space="preserve">5.3 Model Cascade Training dan Risiko Degradasi Kualitas</w:t>
      </w:r>
    </w:p>
    <w:p>
      <w:pPr>
        <w:spacing w:after="200" w:line="300"/>
        <w:jc w:val="both"/>
      </w:pPr>
      <w:r>
        <w:rPr>
          <w:rFonts w:ascii="Calibri" w:cs="Calibri" w:eastAsia="Calibri" w:hAnsi="Calibri"/>
          <w:i w:val="false"/>
          <w:iCs w:val="false"/>
          <w:sz w:val="24"/>
          <w:szCs w:val="24"/>
        </w:rPr>
        <w:t xml:space="preserve">Model pelatihan berikut memungkinkan jangkauan nasional dengan sumber daya terbatas, namun membawa satu risiko tersembunyi yang wajib Anda antisipasi sejak desain awal.</w:t>
      </w:r>
    </w:p>
    <w:p>
      <w:pPr>
        <w:spacing w:after="200" w:line="300"/>
        <w:jc w:val="both"/>
      </w:pPr>
      <w:r>
        <w:rPr>
          <w:rFonts w:ascii="Calibri" w:cs="Calibri" w:eastAsia="Calibri" w:hAnsi="Calibri"/>
          <w:i w:val="false"/>
          <w:iCs w:val="false"/>
          <w:sz w:val="24"/>
          <w:szCs w:val="24"/>
        </w:rPr>
        <w:t xml:space="preserve">Model pelatihan berjenjang (cascade training) — pusat melatih pelatih provinsi, pelatih provinsi melatih pelatih kabupaten, pelatih kabupaten melatih kader KBIHU — memungkinkan jangkauan pelatihan skala nasional dengan sumber daya terbatas, namun membawa risiko signifikan degradasi kualitas dan konsistensi pesan pada setiap jenjang penurunan (cascade fidelity loss). Semakin panjang rantai cascade, semakin besar potensi penyimpangan dari materi dan metode asli yang dirancang di tingkat pusat.</w:t>
      </w:r>
    </w:p>
    <w:p>
      <w:pPr>
        <w:spacing w:after="200" w:line="300"/>
        <w:jc w:val="both"/>
      </w:pPr>
      <w:r>
        <w:rPr>
          <w:rFonts w:ascii="Calibri" w:cs="Calibri" w:eastAsia="Calibri" w:hAnsi="Calibri"/>
          <w:i w:val="false"/>
          <w:iCs w:val="false"/>
          <w:sz w:val="24"/>
          <w:szCs w:val="24"/>
        </w:rPr>
        <w:t xml:space="preserve">Strategi mitigasi risiko ini mencakup penyediaan modul pelatihan yang sangat terstruktur dengan panduan fasilitator yang detail (mengurangi ruang interpretasi bebas pada setiap jenjang), sertifikasi kompetensi pada setiap jenjang sebelum melanjutkan ke jenjang berikutnya, serta mekanisme pemantauan kualitas berkala (spot check) pada sesi pelatihan di jenjang bawah oleh tim pusat atau provinsi.</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Bayangkan permainan 'bisik berantai' — pesan yang disampaikan di ujung pertama seringkali sangat berbeda dari yang diterima di ujung terakhir. Cascade training memiliki risiko serupa: instruksi 'demonstrasikan cara memeriksa nadi selama dua menit penuh' di tingkat pusat bisa berubah menjadi 'jelaskan saja cara memeriksa nadi' di tingkat kabupaten karena pelatih di tengah rantai menyederhanakan tanpa sadar.</w:t>
      </w:r>
    </w:p>
    <w:p>
      <w:pPr>
        <w:pStyle w:val="Heading2"/>
        <w:spacing w:after="180" w:before="360"/>
      </w:pPr>
      <w:r>
        <w:rPr>
          <w:rFonts w:ascii="Calibri" w:cs="Calibri" w:eastAsia="Calibri" w:hAnsi="Calibri"/>
          <w:b/>
          <w:bCs/>
          <w:color w:val="2E75B6"/>
          <w:sz w:val="26"/>
          <w:szCs w:val="26"/>
        </w:rPr>
        <w:t xml:space="preserve">5.4 Evaluasi dan Sertifikasi Kompetensi Kader</w:t>
      </w:r>
    </w:p>
    <w:p>
      <w:pPr>
        <w:spacing w:after="200" w:line="300"/>
        <w:jc w:val="both"/>
      </w:pPr>
      <w:r>
        <w:rPr>
          <w:rFonts w:ascii="Calibri" w:cs="Calibri" w:eastAsia="Calibri" w:hAnsi="Calibri"/>
          <w:i w:val="false"/>
          <w:iCs w:val="false"/>
          <w:sz w:val="24"/>
          <w:szCs w:val="24"/>
        </w:rPr>
        <w:t xml:space="preserve">Program ToT yang bertanggung jawab memerlukan evaluasi kompetensi kader sebelum sertifikasi, tidak sekadar berdasarkan kehadiran dalam sesi pelatihan. Evaluasi idealnya mencakup penilaian pengetahuan substansi (tes tertulis atau lisan), penilaian keterampilan fasilitasi (observasi langsung kader memfasilitasi sesi simulasi), dan penilaian pemahaman batas kewenangan (skenario kasus yang menuntut kader memutuskan kapan harus merujuk). Sertifikasi berbasis kompetensi ini, dibandingkan sertifikasi berbasis kehadiran semata, secara langsung mendukung dimensi 'Implementation' dalam kerangka evaluasi program yang dibahas pada Buku C2.</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Program ToT nasional hipotetis menerapkan model cascade training tiga jenjang (pusat-provinsi-kabupaten) dengan modul pelatihan terstandardisasi dan mekanisme spot check acak oleh tim pusat pada sesi pelatihan jenjang kabupaten. Spot check mengungkap variasi signifikan dalam kualitas penyampaian antar pelatih kabupaten, mendorong tim pusat merevisi panduan fasilitator dengan instruksi yang lebih eksplisit langkah demi langkah untuk mengurangi ruang interpretasi bebas yang menjadi sumber variasi kualitas tersebut. [DATA: rujuk laporan evaluasi resmi Kemenhaj/Kemenkes terbaru untuk hasil spot check aktual].</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Susun tiga kompetensi inti spesifik yang perlu dikuasai kader kesehatan manasik untuk topik pengenalan tanda bahaya kardiovaskular, mencakup ketiga kelompok kompetensi yang dibahas pada Sub-bab 5.2.</w:t>
      </w:r>
    </w:p>
    <w:p>
      <w:pPr>
        <w:spacing w:after="200" w:line="300"/>
        <w:jc w:val="both"/>
      </w:pPr>
      <w:r>
        <w:rPr>
          <w:rFonts w:ascii="Calibri" w:cs="Calibri" w:eastAsia="Calibri" w:hAnsi="Calibri"/>
          <w:i w:val="false"/>
          <w:iCs w:val="false"/>
          <w:sz w:val="24"/>
          <w:szCs w:val="24"/>
        </w:rPr>
        <w:t xml:space="preserve">2. Jelaskan risiko cascade fidelity loss dalam model pelatihan berjenjang, dan usulkan minimal dua strategi mitigasi yang dapat diterapkan dalam konteks pelatihan kader manasik kesehatan skala nasional.</w:t>
      </w:r>
    </w:p>
    <w:p>
      <w:pPr>
        <w:spacing w:after="200" w:line="300"/>
        <w:jc w:val="both"/>
      </w:pPr>
      <w:r>
        <w:rPr>
          <w:rFonts w:ascii="Calibri" w:cs="Calibri" w:eastAsia="Calibri" w:hAnsi="Calibri"/>
          <w:i w:val="false"/>
          <w:iCs w:val="false"/>
          <w:sz w:val="24"/>
          <w:szCs w:val="24"/>
        </w:rPr>
        <w:t xml:space="preserve">3. Rancang kerangka instrumen evaluasi kompetensi kader (mencakup ketiga jenis penilaian pada Sub-bab 5.4) untuk sertifikasi kader manasik kesehatan.</w:t>
      </w:r>
    </w:p>
    <w:p>
      <w:r>
        <w:br w:type="page"/>
      </w:r>
    </w:p>
    <w:p>
      <w:pPr>
        <w:pStyle w:val="Heading1"/>
        <w:spacing w:after="240" w:before="480"/>
      </w:pPr>
      <w:r>
        <w:rPr>
          <w:rFonts w:ascii="Calibri" w:cs="Calibri" w:eastAsia="Calibri" w:hAnsi="Calibri"/>
          <w:b/>
          <w:bCs/>
          <w:color w:val="1F4E79"/>
          <w:sz w:val="32"/>
          <w:szCs w:val="32"/>
        </w:rPr>
        <w:t xml:space="preserve">Bab 6. Uji Coba dan Revisi Kurikulum Berbasis Umpan Balik Lapangan</w:t>
      </w:r>
    </w:p>
    <w:p>
      <w:pPr>
        <w:spacing w:after="200" w:line="300"/>
        <w:jc w:val="both"/>
      </w:pPr>
      <w:r>
        <w:rPr>
          <w:rFonts w:ascii="Calibri" w:cs="Calibri" w:eastAsia="Calibri" w:hAnsi="Calibri"/>
          <w:i w:val="false"/>
          <w:iCs w:val="false"/>
          <w:sz w:val="24"/>
          <w:szCs w:val="24"/>
        </w:rPr>
        <w:t xml:space="preserve">Bab penutup buku ini menekankan bahwa kurikulum manasik kesehatan bukanlah dokumen final yang statis, melainkan produk yang perlu terus diuji coba dan direvisi berdasarkan umpan balik lapangan secara sistematis, sejalan dengan prinsip Living Document yang ditekankan dalam ekosistem pendidikan kedokteran haji secara keseluruhan.</w:t>
      </w:r>
    </w:p>
    <w:p>
      <w:pPr>
        <w:pStyle w:val="Heading2"/>
        <w:spacing w:after="180" w:before="360"/>
      </w:pPr>
      <w:r>
        <w:rPr>
          <w:rFonts w:ascii="Calibri" w:cs="Calibri" w:eastAsia="Calibri" w:hAnsi="Calibri"/>
          <w:b/>
          <w:bCs/>
          <w:color w:val="2E75B6"/>
          <w:sz w:val="26"/>
          <w:szCs w:val="26"/>
        </w:rPr>
        <w:t xml:space="preserve">6.1 Merancang Uji Coba (Piloting) yang Informatif</w:t>
      </w:r>
    </w:p>
    <w:p>
      <w:pPr>
        <w:spacing w:after="200" w:line="300"/>
        <w:jc w:val="both"/>
      </w:pPr>
      <w:r>
        <w:rPr>
          <w:rFonts w:ascii="Calibri" w:cs="Calibri" w:eastAsia="Calibri" w:hAnsi="Calibri"/>
          <w:i w:val="false"/>
          <w:iCs w:val="false"/>
          <w:sz w:val="24"/>
          <w:szCs w:val="24"/>
        </w:rPr>
        <w:t xml:space="preserve">Sebelum meluncurkan uji coba, satu pertanyaan awal perlu dijawab: uji coba yang Anda rancang harus dapat menguji asumsi mana yang sesungguhnya paling berisiko keliru?</w:t>
      </w:r>
    </w:p>
    <w:p>
      <w:pPr>
        <w:spacing w:after="200" w:line="300"/>
        <w:jc w:val="both"/>
      </w:pPr>
      <w:r>
        <w:rPr>
          <w:rFonts w:ascii="Calibri" w:cs="Calibri" w:eastAsia="Calibri" w:hAnsi="Calibri"/>
          <w:i w:val="false"/>
          <w:iCs w:val="false"/>
          <w:sz w:val="24"/>
          <w:szCs w:val="24"/>
        </w:rPr>
        <w:t xml:space="preserve">Uji coba kurikulum sebelum implementasi skala penuh idealnya dirancang untuk secara spesifik menguji asumsi-asumsi kunci yang mendasari desain kurikulum — misalnya, apakah metode partisipatif yang dirancang untuk jemaah lanjut usia benar-benar dapat dilaksanakan fasilitator KBIHU dengan tingkat pelatihan standar (bukan hanya oleh tim pengembang kurikulum sendiri yang tentu lebih terampil), dan apakah durasi sesi yang direncanakan realistis dijalankan dalam kondisi jadwal manasik yang padat di lapangan.</w:t>
      </w:r>
    </w:p>
    <w:p>
      <w:pPr>
        <w:spacing w:after="200" w:line="300"/>
        <w:jc w:val="both"/>
      </w:pPr>
      <w:r>
        <w:rPr>
          <w:rFonts w:ascii="Calibri" w:cs="Calibri" w:eastAsia="Calibri" w:hAnsi="Calibri"/>
          <w:i w:val="false"/>
          <w:iCs w:val="false"/>
          <w:sz w:val="24"/>
          <w:szCs w:val="24"/>
        </w:rPr>
        <w:t xml:space="preserve">Uji coba yang baik melibatkan kondisi seotentik mungkin dengan implementasi skala penuh — fasilitator biasa (bukan pengembang kurikulum), kelompok peserta dengan karakteristik representatif, dan kondisi logistik yang menyerupai kondisi lapangan riil — untuk menghasilkan pembelajaran yang benar-benar dapat digeneralisasi ke implementasi skala nasional.</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Sebuah tim pengembang yang mengujicobakan kurikulumnya sendiri dengan dipandu langsung oleh anggota tim yang ahli akan cenderung melihat hasil yang lebih baik daripada yang sebenarnya akan terjadi di lapangan — karena fasilitator biasa di KBIHU tidak memiliki keahlian dan antusiasme yang sama. Uji coba yang jujur harus melibatkan fasilitator KBIHU biasa, bukan tim pengembang sendiri.</w:t>
      </w:r>
    </w:p>
    <w:p>
      <w:pPr>
        <w:pStyle w:val="Heading2"/>
        <w:spacing w:after="180" w:before="360"/>
      </w:pPr>
      <w:r>
        <w:rPr>
          <w:rFonts w:ascii="Calibri" w:cs="Calibri" w:eastAsia="Calibri" w:hAnsi="Calibri"/>
          <w:b/>
          <w:bCs/>
          <w:color w:val="2E75B6"/>
          <w:sz w:val="26"/>
          <w:szCs w:val="26"/>
        </w:rPr>
        <w:t xml:space="preserve">6.2 Mekanisme Pengumpulan Umpan Balik Multi-Sumber</w:t>
      </w:r>
    </w:p>
    <w:p>
      <w:pPr>
        <w:spacing w:after="200" w:line="300"/>
        <w:jc w:val="both"/>
      </w:pPr>
      <w:r>
        <w:rPr>
          <w:rFonts w:ascii="Calibri" w:cs="Calibri" w:eastAsia="Calibri" w:hAnsi="Calibri"/>
          <w:i w:val="false"/>
          <w:iCs w:val="false"/>
          <w:sz w:val="24"/>
          <w:szCs w:val="24"/>
        </w:rPr>
        <w:t xml:space="preserve">Umpan balik lapangan yang komprehensif memerlukan sumber ganda: umpan balik dari peserta calon jemaah (mengenai kejelasan dan kebermanfaatan materi), umpan balik dari fasilitator KBIHU dan petugas puskesmas (mengenai kelayakan praktis pelaksanaan kurikulum, termasuk kendala waktu dan logistik), serta data observasi langsung pelaksanaan sesi oleh tim evaluasi independen (untuk menangkap kesenjangan antara apa yang dilaporkan fasilitator dan apa yang benar-benar terjadi di lapangan).</w:t>
      </w:r>
    </w:p>
    <w:p>
      <w:pPr>
        <w:spacing w:after="200" w:line="300"/>
        <w:jc w:val="both"/>
      </w:pPr>
      <w:r>
        <w:rPr>
          <w:rFonts w:ascii="Calibri" w:cs="Calibri" w:eastAsia="Calibri" w:hAnsi="Calibri"/>
          <w:i w:val="false"/>
          <w:iCs w:val="false"/>
          <w:sz w:val="24"/>
          <w:szCs w:val="24"/>
        </w:rPr>
        <w:t xml:space="preserve">Ketiga sumber umpan balik ini seringkali mengungkap temuan yang berbeda atau bahkan kontradiktif, dan justru dari perbedaan tersebut penyusun kurikulum memperoleh pemahaman yang lebih kaya mengenai kompleksitas implementasi lapangan dibandingkan mengandalkan satu sumber umpan balik tunggal.</w:t>
      </w:r>
    </w:p>
    <w:p>
      <w:pPr>
        <w:pStyle w:val="Heading2"/>
        <w:spacing w:after="180" w:before="360"/>
      </w:pPr>
      <w:r>
        <w:rPr>
          <w:rFonts w:ascii="Calibri" w:cs="Calibri" w:eastAsia="Calibri" w:hAnsi="Calibri"/>
          <w:b/>
          <w:bCs/>
          <w:color w:val="2E75B6"/>
          <w:sz w:val="26"/>
          <w:szCs w:val="26"/>
        </w:rPr>
        <w:t xml:space="preserve">6.3 Siklus Revisi Iteratif dan Dokumentasi Perubahan</w:t>
      </w:r>
    </w:p>
    <w:p>
      <w:pPr>
        <w:spacing w:after="200" w:line="300"/>
        <w:jc w:val="both"/>
      </w:pPr>
      <w:r>
        <w:rPr>
          <w:rFonts w:ascii="Calibri" w:cs="Calibri" w:eastAsia="Calibri" w:hAnsi="Calibri"/>
          <w:i w:val="false"/>
          <w:iCs w:val="false"/>
          <w:sz w:val="24"/>
          <w:szCs w:val="24"/>
        </w:rPr>
        <w:t xml:space="preserve">Setelah umpan balik terkumpul, langkah berikutnya bukan langsung merevisi secara final, melainkan mengikuti siklus berulang berikut untuk memastikan setiap perubahan benar-benar teruji.</w:t>
      </w:r>
    </w:p>
    <w:p>
      <w:pPr>
        <w:spacing w:after="200" w:line="300"/>
        <w:jc w:val="both"/>
      </w:pPr>
      <w:r>
        <w:rPr>
          <w:rFonts w:ascii="Calibri" w:cs="Calibri" w:eastAsia="Calibri" w:hAnsi="Calibri"/>
          <w:i w:val="false"/>
          <w:iCs w:val="false"/>
          <w:sz w:val="24"/>
          <w:szCs w:val="24"/>
        </w:rPr>
        <w:t xml:space="preserve">Revisi kurikulum berdasarkan umpan balik idealnya dilakukan secara iteratif — uji coba, analisis umpan balik, revisi, uji coba ulang pada skala terbatas — sebelum kurikulum final diadopsi secara nasional. Setiap siklus revisi perlu didokumentasikan secara sistematis: perubahan apa yang dilakukan, umpan balik spesifik apa yang mendasari perubahan tersebut, dan bagaimana perubahan tersebut dapat diverifikasi efeknya pada uji coba berikutnya. Dokumentasi ini penting bukan sekadar untuk akuntabilitas administratif, melainkan menjadi basis pengetahuan institusional yang mencegah pengulangan kesalahan desain yang sama di masa mendatang.</w:t>
      </w:r>
    </w:p>
    <w:p>
      <w:pPr>
        <w:spacing w:after="200" w:line="300"/>
        <w:jc w:val="both"/>
      </w:pPr>
      <w:r>
        <w:rPr>
          <w:rFonts w:ascii="Calibri" w:cs="Calibri" w:eastAsia="Calibri" w:hAnsi="Calibri"/>
          <w:i w:val="false"/>
          <w:iCs w:val="false"/>
          <w:sz w:val="24"/>
          <w:szCs w:val="24"/>
        </w:rPr>
        <w:t xml:space="preserve">Pendekatan iteratif ini sejalan dengan rekomendasi tinjauan tahunan (annual review) yang ditekankan dalam dokumen perencanaan ekosistem pendidikan kedokteran haji, yang mengevaluasi efektivitas bab-bab dan modul baru setelah diujicobakan di kelas atau pelatihan.</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Siklus pertama menemukan durasi sesi terlalu panjang. Tim mendokumentasikan perubahan durasi dari 45 menjadi 25 menit beserta alasannya, lalu menguji ulang versi 25 menit pada kelompok terbatas sebelum benar-benar yakin versi baru ini sama efektifnya — bukan langsung mengadopsinya secara nasional tanpa verifikasi ulang.</w:t>
      </w:r>
    </w:p>
    <w:p>
      <w:pPr>
        <w:pStyle w:val="Heading2"/>
        <w:spacing w:after="180" w:before="360"/>
      </w:pPr>
      <w:r>
        <w:rPr>
          <w:rFonts w:ascii="Calibri" w:cs="Calibri" w:eastAsia="Calibri" w:hAnsi="Calibri"/>
          <w:b/>
          <w:bCs/>
          <w:color w:val="2E75B6"/>
          <w:sz w:val="26"/>
          <w:szCs w:val="26"/>
        </w:rPr>
        <w:t xml:space="preserve">6.4 Menutup Lingkaran: Dari Revisi Kurikulum ke Kontribusi Riset Kebijakan</w:t>
      </w:r>
    </w:p>
    <w:p>
      <w:pPr>
        <w:spacing w:after="200" w:line="300"/>
        <w:jc w:val="both"/>
      </w:pPr>
      <w:r>
        <w:rPr>
          <w:rFonts w:ascii="Calibri" w:cs="Calibri" w:eastAsia="Calibri" w:hAnsi="Calibri"/>
          <w:i w:val="false"/>
          <w:iCs w:val="false"/>
          <w:sz w:val="24"/>
          <w:szCs w:val="24"/>
        </w:rPr>
        <w:t xml:space="preserve">Proses uji coba dan revisi kurikulum yang Anda pimpin sebagai lulusan jalur RPL Fellowship pada akhirnya menghasilkan bukti empiris berharga yang dapat dan seharusnya dituangkan menjadi kontribusi riset kebijakan, sejalan dengan kompetensi yang dibangun sejak Buku C1 dan diperdalam pada Buku C2. Temuan mengenai apa yang berhasil dan tidak berhasil dalam proses uji coba kurikulum bukan sekadar informasi internal tim pengembang, melainkan pengetahuan yang bernilai bagi ekosistem pendidikan kesehatan haji secara lebih luas — sebuah lingkaran yang menghubungkan kompetensi pengembangan kurikulum pada buku ini dengan kompetensi metodologi riset dan publikasi yang akan diperdalam lebih lanjut pada Buku C4.</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Tim pengembang kurikulum hipotetis melakukan uji coba dua siklus untuk modul manasik kesehatan kardiovaskular. Siklus pertama mengungkap bahwa durasi sesi yang direncanakan (45 menit) tidak realistis dijalankan dalam jadwal manasik yang padat, berdasarkan umpan balik konsisten dari fasilitator KBIHU di tiga lokasi uji coba berbeda. Tim merevisi durasi menjadi 25 menit dengan penyederhanaan aktivitas inti, kemudian melakukan uji coba siklus kedua yang menunjukkan hasil pembelajaran yang setara dengan versi 45 menit namun jauh lebih layak dilaksanakan dalam kondisi lapangan riil — temuan yang kemudian didokumentasikan dan diusulkan sebagai kontribusi bagi tinjauan tahunan kurikulum manasik kesehatan nasional. [DATA: rujuk laporan evaluasi resmi Kemenhaj/Kemenkes terbaru untuk hasil uji coba dua siklus aktual].</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Rancang kerangka uji coba (piloting) untuk satu modul kurikulum manasik kesehatan pilihan Anda, mencakup kondisi seotentik apa yang perlu dipenuhi agar hasil uji coba dapat digeneralisasi ke implementasi skala nasional.</w:t>
      </w:r>
    </w:p>
    <w:p>
      <w:pPr>
        <w:spacing w:after="200" w:line="300"/>
        <w:jc w:val="both"/>
      </w:pPr>
      <w:r>
        <w:rPr>
          <w:rFonts w:ascii="Calibri" w:cs="Calibri" w:eastAsia="Calibri" w:hAnsi="Calibri"/>
          <w:i w:val="false"/>
          <w:iCs w:val="false"/>
          <w:sz w:val="24"/>
          <w:szCs w:val="24"/>
        </w:rPr>
        <w:t xml:space="preserve">2. Jelaskan mengapa ketiga sumber umpan balik (peserta, fasilitator, observasi independen) penting dikombinasikan, dan berikan contoh hipotetis situasi di mana ketiga sumber tersebut memberikan temuan yang berbeda.</w:t>
      </w:r>
    </w:p>
    <w:p>
      <w:pPr>
        <w:spacing w:after="200" w:line="300"/>
        <w:jc w:val="both"/>
      </w:pPr>
      <w:r>
        <w:rPr>
          <w:rFonts w:ascii="Calibri" w:cs="Calibri" w:eastAsia="Calibri" w:hAnsi="Calibri"/>
          <w:i w:val="false"/>
          <w:iCs w:val="false"/>
          <w:sz w:val="24"/>
          <w:szCs w:val="24"/>
        </w:rPr>
        <w:t xml:space="preserve">3. Diskusikan bagaimana temuan dari proses uji coba dan revisi kurikulum yang Anda pimpin dapat diterjemahkan menjadi kontribusi riset kebijakan yang lebih luas, merujuk pada kompetensi yang dibangun di Buku C1 dan C2.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C3 — Pengembangan Kurikulum dan Model Edukasi Kesehatan Haji</dc:title>
  <dc:creator>Dr. dr. H. Budi Siswanto, Sp.OG., Subsp.Obginsos., SH., S.Kom.</dc:creator>
  <cp:lastModifiedBy>Un-named</cp:lastModifiedBy>
  <cp:revision>1</cp:revision>
  <dcterms:created xsi:type="dcterms:W3CDTF">2026-07-07T23:49:48.596Z</dcterms:created>
  <dcterms:modified xsi:type="dcterms:W3CDTF">2026-07-07T23:49:48.596Z</dcterms:modified>
</cp:coreProperties>
</file>

<file path=docProps/custom.xml><?xml version="1.0" encoding="utf-8"?>
<Properties xmlns="http://schemas.openxmlformats.org/officeDocument/2006/custom-properties" xmlns:vt="http://schemas.openxmlformats.org/officeDocument/2006/docPropsVTypes"/>
</file>