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spacing w:after="120"/>
        <w:jc w:val="center"/>
      </w:pPr>
      <w:r>
        <w:rPr>
          <w:rFonts w:ascii="Calibri" w:cs="Calibri" w:eastAsia="Calibri" w:hAnsi="Calibri"/>
          <w:b/>
          <w:bCs/>
          <w:color w:val="2E75B6"/>
          <w:sz w:val="28"/>
          <w:szCs w:val="28"/>
        </w:rPr>
        <w:t xml:space="preserve">C2</w:t>
      </w:r>
    </w:p>
    <w:p>
      <w:pPr>
        <w:spacing w:after="240"/>
        <w:jc w:val="center"/>
      </w:pPr>
      <w:r>
        <w:rPr>
          <w:rFonts w:ascii="Calibri" w:cs="Calibri" w:eastAsia="Calibri" w:hAnsi="Calibri"/>
          <w:b/>
          <w:bCs/>
          <w:color w:val="1F4E79"/>
          <w:sz w:val="44"/>
          <w:szCs w:val="44"/>
        </w:rPr>
        <w:t xml:space="preserve">Evaluasi Program dan Kebijakan Kesehatan Haji Berbasis Bukti</w:t>
      </w:r>
    </w:p>
    <w:p>
      <w:pPr>
        <w:spacing w:after="600"/>
        <w:jc w:val="center"/>
      </w:pPr>
      <w:r>
        <w:rPr>
          <w:rFonts w:ascii="Calibri" w:cs="Calibri" w:eastAsia="Calibri" w:hAnsi="Calibri"/>
          <w:i/>
          <w:iCs/>
          <w:sz w:val="28"/>
          <w:szCs w:val="28"/>
        </w:rPr>
        <w:t xml:space="preserve">Buku Tematik Jalur RPL Fellowship</w:t>
      </w:r>
    </w:p>
    <w:p>
      <w:pPr>
        <w:spacing w:after="120"/>
        <w:jc w:val="center"/>
      </w:pPr>
      <w:r>
        <w:rPr>
          <w:rFonts w:ascii="Calibri" w:cs="Calibri" w:eastAsia="Calibri" w:hAnsi="Calibri"/>
          <w:sz w:val="22"/>
          <w:szCs w:val="22"/>
        </w:rPr>
        <w:t xml:space="preserve">Jalur Magister Kedokteran Haji — Jalur RPL Fellowship (1 tahun/4 semester)</w:t>
      </w:r>
    </w:p>
    <w:p>
      <w:pPr>
        <w:spacing w:after="1200"/>
        <w:jc w:val="center"/>
      </w:pPr>
      <w:r>
        <w:rPr>
          <w:rFonts w:ascii="Calibri" w:cs="Calibri" w:eastAsia="Calibri" w:hAnsi="Calibri"/>
          <w:i/>
          <w:iCs/>
          <w:sz w:val="20"/>
          <w:szCs w:val="20"/>
        </w:rPr>
        <w:t xml:space="preserve">Berdasarkan Ekosistem 21 Buku Pendidikan Kedokteran Haji — Edisi Revisi 2 (Pasca-Audit Substansi)</w:t>
      </w:r>
    </w:p>
    <w:p>
      <w:pPr>
        <w:spacing w:after="60"/>
        <w:jc w:val="center"/>
      </w:pPr>
      <w:r>
        <w:rPr>
          <w:rFonts w:ascii="Calibri" w:cs="Calibri" w:eastAsia="Calibri" w:hAnsi="Calibri"/>
          <w:sz w:val="22"/>
          <w:szCs w:val="22"/>
        </w:rPr>
        <w:t xml:space="preserve">Disusun oleh:</w:t>
      </w:r>
    </w:p>
    <w:p>
      <w:pPr>
        <w:spacing w:after="60"/>
        <w:jc w:val="center"/>
      </w:pPr>
      <w:r>
        <w:rPr>
          <w:rFonts w:ascii="Calibri" w:cs="Calibri" w:eastAsia="Calibri" w:hAnsi="Calibri"/>
          <w:b/>
          <w:bCs/>
          <w:sz w:val="24"/>
          <w:szCs w:val="24"/>
        </w:rPr>
        <w:t xml:space="preserve">Dr. dr. H. Budi Siswanto, Sp.OG., Subsp.Obginsos., SH., S.Kom.</w:t>
      </w:r>
    </w:p>
    <w:p>
      <w:pPr>
        <w:spacing w:after="60"/>
        <w:jc w:val="center"/>
      </w:pPr>
      <w:r>
        <w:rPr>
          <w:rFonts w:ascii="Calibri" w:cs="Calibri" w:eastAsia="Calibri" w:hAnsi="Calibri"/>
          <w:sz w:val="22"/>
          <w:szCs w:val="22"/>
        </w:rPr>
        <w:t xml:space="preserve">Perpustakaan Digital ABBA</w:t>
      </w:r>
    </w:p>
    <w:p>
      <w:pPr>
        <w:jc w:val="center"/>
      </w:pPr>
      <w:r>
        <w:rPr>
          <w:rFonts w:ascii="Calibri" w:cs="Calibri" w:eastAsia="Calibri" w:hAnsi="Calibri"/>
          <w:sz w:val="22"/>
          <w:szCs w:val="22"/>
        </w:rPr>
        <w:t xml:space="preserve">Malang, 2026</w:t>
      </w:r>
    </w:p>
    <w:p>
      <w:r>
        <w:br w:type="page"/>
      </w:r>
    </w:p>
    <w:p>
      <w:pPr>
        <w:pStyle w:val="Heading1"/>
        <w:spacing w:after="240" w:before="480"/>
      </w:pPr>
      <w:r>
        <w:rPr>
          <w:rFonts w:ascii="Calibri" w:cs="Calibri" w:eastAsia="Calibri" w:hAnsi="Calibri"/>
          <w:b/>
          <w:bCs/>
          <w:color w:val="1F4E79"/>
          <w:sz w:val="32"/>
          <w:szCs w:val="32"/>
        </w:rPr>
        <w:t xml:space="preserve">Deskripsi Buku</w:t>
      </w:r>
    </w:p>
    <w:p>
      <w:pPr>
        <w:spacing w:after="200" w:line="300"/>
        <w:jc w:val="both"/>
      </w:pPr>
      <w:r>
        <w:rPr>
          <w:rFonts w:ascii="Calibri" w:cs="Calibri" w:eastAsia="Calibri" w:hAnsi="Calibri"/>
          <w:i w:val="false"/>
          <w:iCs w:val="false"/>
          <w:sz w:val="24"/>
          <w:szCs w:val="24"/>
        </w:rPr>
        <w:t xml:space="preserve">Buku tematik pendalaman yang memperkuat kompetensi inti evaluasi program dari Buku C1, menjadi dasar metodologis utama bagi mahasiswa yang menyusun tesis evaluasi kebijakan/program kesehatan haji. Buku ini membahas kerangka kerja evaluasi program kesehatan masyarakat, penyusunan indikator keberhasilan, desain evaluasi pre-post hingga kuasi-eksperimental dan mixed-methods, analisis cost-effectiveness, studi kasus terintegrasi evaluasi dampak manasik kesehatan, hingga pelaporan hasil evaluasi bagi pengambil kebijakan.</w:t>
      </w:r>
    </w:p>
    <w:p>
      <w:r>
        <w:br w:type="page"/>
      </w:r>
    </w:p>
    <w:p>
      <w:pPr>
        <w:pStyle w:val="Heading1"/>
        <w:spacing w:after="240" w:before="480"/>
      </w:pPr>
      <w:r>
        <w:rPr>
          <w:rFonts w:ascii="Calibri" w:cs="Calibri" w:eastAsia="Calibri" w:hAnsi="Calibri"/>
          <w:b/>
          <w:bCs/>
          <w:color w:val="1F4E79"/>
          <w:sz w:val="32"/>
          <w:szCs w:val="32"/>
        </w:rPr>
        <w:t xml:space="preserve">Daftar Isi</w:t>
      </w:r>
    </w:p>
    <w:sdt>
      <w:sdtPr>
        <w:alias w:val="Daftar Isi"/>
      </w:sdtPr>
      <w:sdtContent>
        <w:p>
          <w:r>
            <w:fldChar w:fldCharType="begin" w:dirty="true"/>
            <w:instrText xml:space="preserve">TOC \h \o "1-2"</w:instrText>
            <w:fldChar w:fldCharType="separate"/>
          </w:r>
        </w:p>
        <w:p>
          <w:r>
            <w:fldChar w:fldCharType="end"/>
          </w:r>
        </w:p>
      </w:sdtContent>
    </w:sdt>
    <w:p>
      <w:r>
        <w:br w:type="page"/>
      </w:r>
    </w:p>
    <w:p>
      <w:r>
        <w:br w:type="page"/>
      </w:r>
    </w:p>
    <w:p>
      <w:pPr>
        <w:pStyle w:val="Heading1"/>
        <w:spacing w:after="240" w:before="480"/>
      </w:pPr>
      <w:r>
        <w:rPr>
          <w:rFonts w:ascii="Calibri" w:cs="Calibri" w:eastAsia="Calibri" w:hAnsi="Calibri"/>
          <w:b/>
          <w:bCs/>
          <w:color w:val="1F4E79"/>
          <w:sz w:val="32"/>
          <w:szCs w:val="32"/>
        </w:rPr>
        <w:t xml:space="preserve">Bab 1. Kerangka Kerja Evaluasi Program Kesehatan Masyarakat</w:t>
      </w:r>
    </w:p>
    <w:p>
      <w:pPr>
        <w:spacing w:after="200" w:line="300"/>
        <w:jc w:val="both"/>
      </w:pPr>
      <w:r>
        <w:rPr>
          <w:rFonts w:ascii="Calibri" w:cs="Calibri" w:eastAsia="Calibri" w:hAnsi="Calibri"/>
          <w:i w:val="false"/>
          <w:iCs w:val="false"/>
          <w:sz w:val="24"/>
          <w:szCs w:val="24"/>
        </w:rPr>
        <w:t xml:space="preserve">Buku C1 memperkenalkan kerangka logika program sebagai fondasi evaluasi berbasis bukti. Buku C2 ini memperdalam kompetensi tersebut secara khusus sebagai bekal metodologis bagi tesis evaluasi kebijakan atau program yang akan Anda tempuh. Bab pembuka ini menyajikan beberapa kerangka kerja evaluasi program kesehatan masyarakat yang telah teruji secara internasional dan relevan diadaptasi untuk konteks program kesehatan haji Indonesia.</w:t>
      </w:r>
    </w:p>
    <w:p>
      <w:pPr>
        <w:pStyle w:val="Heading2"/>
        <w:spacing w:after="180" w:before="360"/>
      </w:pPr>
      <w:r>
        <w:rPr>
          <w:rFonts w:ascii="Calibri" w:cs="Calibri" w:eastAsia="Calibri" w:hAnsi="Calibri"/>
          <w:b/>
          <w:bCs/>
          <w:color w:val="2E75B6"/>
          <w:sz w:val="26"/>
          <w:szCs w:val="26"/>
        </w:rPr>
        <w:t xml:space="preserve">1.1 Kerangka RE-AIM: Melampaui Efektivitas Semata</w:t>
      </w:r>
    </w:p>
    <w:p>
      <w:pPr>
        <w:spacing w:after="200" w:line="300"/>
        <w:jc w:val="both"/>
      </w:pPr>
      <w:r>
        <w:rPr>
          <w:rFonts w:ascii="Calibri" w:cs="Calibri" w:eastAsia="Calibri" w:hAnsi="Calibri"/>
          <w:i w:val="false"/>
          <w:iCs w:val="false"/>
          <w:sz w:val="24"/>
          <w:szCs w:val="24"/>
        </w:rPr>
        <w:t xml:space="preserve">Sebelum menerapkan kerangka ini, penting dipahami mengapa evaluasi yang hanya berfokus pada satu dimensi — efektivitas — dapat memberi gambaran yang menyesatkan tentang kinerja program berskala nasional.</w:t>
      </w:r>
    </w:p>
    <w:p>
      <w:pPr>
        <w:pStyle w:val="Heading3"/>
        <w:spacing w:after="140" w:before="280"/>
      </w:pPr>
      <w:r>
        <w:rPr>
          <w:rFonts w:ascii="Calibri" w:cs="Calibri" w:eastAsia="Calibri" w:hAnsi="Calibri"/>
          <w:b/>
          <w:bCs/>
          <w:i/>
          <w:iCs/>
          <w:color w:val="2E75B6"/>
          <w:sz w:val="24"/>
          <w:szCs w:val="24"/>
        </w:rPr>
        <w:t xml:space="preserve">1.1.1 Reach (Jangkauan)</w:t>
      </w:r>
    </w:p>
    <w:p>
      <w:pPr>
        <w:spacing w:after="200" w:line="300"/>
        <w:jc w:val="both"/>
      </w:pPr>
      <w:r>
        <w:rPr>
          <w:rFonts w:ascii="Calibri" w:cs="Calibri" w:eastAsia="Calibri" w:hAnsi="Calibri"/>
          <w:i w:val="false"/>
          <w:iCs w:val="false"/>
          <w:sz w:val="24"/>
          <w:szCs w:val="24"/>
        </w:rPr>
        <w:t xml:space="preserve">Mengukur proporsi populasi sasaran yang benar-benar terpapar program, bukan hanya yang tersedia secara administratif.</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Sebuah program mungkin tersedia di seluruh embarkasi, namun jika hanya sebagian kecil calon jemaah di wilayah terpencil benar-benar menghadiri sesi manasik kesehatan [DATA: rujuk laporan evaluasi resmi Kemenhaj/Kemenkes terbaru untuk angka cakupan aktual per wilayah], jangkauan riilnya jauh lebih rendah dari yang terlihat di atas kertas.</w:t>
      </w:r>
    </w:p>
    <w:p>
      <w:pPr>
        <w:pStyle w:val="Heading3"/>
        <w:spacing w:after="140" w:before="280"/>
      </w:pPr>
      <w:r>
        <w:rPr>
          <w:rFonts w:ascii="Calibri" w:cs="Calibri" w:eastAsia="Calibri" w:hAnsi="Calibri"/>
          <w:b/>
          <w:bCs/>
          <w:i/>
          <w:iCs/>
          <w:color w:val="2E75B6"/>
          <w:sz w:val="24"/>
          <w:szCs w:val="24"/>
        </w:rPr>
        <w:t xml:space="preserve">1.1.2 Effectiveness (Efektivitas)</w:t>
      </w:r>
    </w:p>
    <w:p>
      <w:pPr>
        <w:spacing w:after="200" w:line="300"/>
        <w:jc w:val="both"/>
      </w:pPr>
      <w:r>
        <w:rPr>
          <w:rFonts w:ascii="Calibri" w:cs="Calibri" w:eastAsia="Calibri" w:hAnsi="Calibri"/>
          <w:i w:val="false"/>
          <w:iCs w:val="false"/>
          <w:sz w:val="24"/>
          <w:szCs w:val="24"/>
        </w:rPr>
        <w:t xml:space="preserve">Mengukur dampak program pada outcome yang diinginkan, seperti telah dibahas pada Buku C1 Bab 2.</w:t>
      </w:r>
    </w:p>
    <w:p>
      <w:pPr>
        <w:pStyle w:val="Heading3"/>
        <w:spacing w:after="140" w:before="280"/>
      </w:pPr>
      <w:r>
        <w:rPr>
          <w:rFonts w:ascii="Calibri" w:cs="Calibri" w:eastAsia="Calibri" w:hAnsi="Calibri"/>
          <w:b/>
          <w:bCs/>
          <w:i/>
          <w:iCs/>
          <w:color w:val="2E75B6"/>
          <w:sz w:val="24"/>
          <w:szCs w:val="24"/>
        </w:rPr>
        <w:t xml:space="preserve">1.1.3 Adoption (Adopsi)</w:t>
      </w:r>
    </w:p>
    <w:p>
      <w:pPr>
        <w:spacing w:after="200" w:line="300"/>
        <w:jc w:val="both"/>
      </w:pPr>
      <w:r>
        <w:rPr>
          <w:rFonts w:ascii="Calibri" w:cs="Calibri" w:eastAsia="Calibri" w:hAnsi="Calibri"/>
          <w:i w:val="false"/>
          <w:iCs w:val="false"/>
          <w:sz w:val="24"/>
          <w:szCs w:val="24"/>
        </w:rPr>
        <w:t xml:space="preserve">Mengukur proporsi unit pelaksana, misalnya KBIHU atau puskesmas, yang benar-benar mengadopsi program sesuai desain.</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Dari seribu KBIHU yang menerima modul revisi, hanya berapa persen yang benar-benar mengimplementasikannya secara utuh, dibandingkan yang memilih menggunakan sebagian saja atau tetap memakai materi lama?</w:t>
      </w:r>
    </w:p>
    <w:p>
      <w:pPr>
        <w:pStyle w:val="Heading3"/>
        <w:spacing w:after="140" w:before="280"/>
      </w:pPr>
      <w:r>
        <w:rPr>
          <w:rFonts w:ascii="Calibri" w:cs="Calibri" w:eastAsia="Calibri" w:hAnsi="Calibri"/>
          <w:b/>
          <w:bCs/>
          <w:i/>
          <w:iCs/>
          <w:color w:val="2E75B6"/>
          <w:sz w:val="24"/>
          <w:szCs w:val="24"/>
        </w:rPr>
        <w:t xml:space="preserve">1.1.4 Implementation (Implementasi)</w:t>
      </w:r>
    </w:p>
    <w:p>
      <w:pPr>
        <w:spacing w:after="200" w:line="300"/>
        <w:jc w:val="both"/>
      </w:pPr>
      <w:r>
        <w:rPr>
          <w:rFonts w:ascii="Calibri" w:cs="Calibri" w:eastAsia="Calibri" w:hAnsi="Calibri"/>
          <w:i w:val="false"/>
          <w:iCs w:val="false"/>
          <w:sz w:val="24"/>
          <w:szCs w:val="24"/>
        </w:rPr>
        <w:t xml:space="preserve">Mengukur konsistensi pelaksanaan program sesuai desain, sebuah dimensi yang akan diperdalam lebih jauh melalui pembahasan pelatihan kader pada Buku C3 Bab 5.</w:t>
      </w:r>
    </w:p>
    <w:p>
      <w:pPr>
        <w:pStyle w:val="Heading3"/>
        <w:spacing w:after="140" w:before="280"/>
      </w:pPr>
      <w:r>
        <w:rPr>
          <w:rFonts w:ascii="Calibri" w:cs="Calibri" w:eastAsia="Calibri" w:hAnsi="Calibri"/>
          <w:b/>
          <w:bCs/>
          <w:i/>
          <w:iCs/>
          <w:color w:val="2E75B6"/>
          <w:sz w:val="24"/>
          <w:szCs w:val="24"/>
        </w:rPr>
        <w:t xml:space="preserve">1.1.5 Maintenance (Keberlanjutan)</w:t>
      </w:r>
    </w:p>
    <w:p>
      <w:pPr>
        <w:spacing w:after="200" w:line="300"/>
        <w:jc w:val="both"/>
      </w:pPr>
      <w:r>
        <w:rPr>
          <w:rFonts w:ascii="Calibri" w:cs="Calibri" w:eastAsia="Calibri" w:hAnsi="Calibri"/>
          <w:i w:val="false"/>
          <w:iCs w:val="false"/>
          <w:sz w:val="24"/>
          <w:szCs w:val="24"/>
        </w:rPr>
        <w:t xml:space="preserve">Mengukur apakah program dan efeknya bertahan dalam jangka panjang, tanpa dukungan eksternal yang terus-menerus.</w:t>
      </w:r>
    </w:p>
    <w:p>
      <w:pPr>
        <w:pStyle w:val="Heading2"/>
        <w:spacing w:after="180" w:before="360"/>
      </w:pPr>
      <w:r>
        <w:rPr>
          <w:rFonts w:ascii="Calibri" w:cs="Calibri" w:eastAsia="Calibri" w:hAnsi="Calibri"/>
          <w:b/>
          <w:bCs/>
          <w:color w:val="2E75B6"/>
          <w:sz w:val="26"/>
          <w:szCs w:val="26"/>
        </w:rPr>
        <w:t xml:space="preserve">1.2 Kerangka CIPP: Context, Input, Process, Product</w:t>
      </w:r>
    </w:p>
    <w:p>
      <w:pPr>
        <w:spacing w:after="200" w:line="300"/>
        <w:jc w:val="both"/>
      </w:pPr>
      <w:r>
        <w:rPr>
          <w:rFonts w:ascii="Calibri" w:cs="Calibri" w:eastAsia="Calibri" w:hAnsi="Calibri"/>
          <w:i w:val="false"/>
          <w:iCs w:val="false"/>
          <w:sz w:val="24"/>
          <w:szCs w:val="24"/>
        </w:rPr>
        <w:t xml:space="preserve">Kerangka berikut sangat berguna pada tahap yang sedikit berbeda dari RE-AIM — bukan untuk menilai program yang sudah lama berjalan, melainkan untuk merencanakan program atau kurikulum baru.</w:t>
      </w:r>
    </w:p>
    <w:p>
      <w:pPr>
        <w:spacing w:after="200" w:line="300"/>
        <w:jc w:val="both"/>
      </w:pPr>
      <w:r>
        <w:rPr>
          <w:rFonts w:ascii="Calibri" w:cs="Calibri" w:eastAsia="Calibri" w:hAnsi="Calibri"/>
          <w:i w:val="false"/>
          <w:iCs w:val="false"/>
          <w:sz w:val="24"/>
          <w:szCs w:val="24"/>
        </w:rPr>
        <w:t xml:space="preserve">Kerangka CIPP yang dikembangkan Stufflebeam menawarkan pendekatan evaluasi yang lebih menyeluruh terhadap siklus program, mencakup evaluasi konteks (apakah kebutuhan program teridentifikasi dengan tepat), input (apakah sumber daya dan strategi yang direncanakan memadai), proses (apakah pelaksanaan sesuai rencana), dan produk (apakah hasil yang dicapai sesuai tujuan). Kerangka ini particularly berguna pada tahap perencanaan evaluasi program baru, seperti revisi kurikulum manasik kesehatan pasca Kebijakan Manasik Kesehatan Haji 2027, karena mendorong evaluator menilai kelayakan program sejak tahap desain, bukan hanya menilai hasil akhir setelah program berjalan.</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Ketika Kemenhaj merencanakan revisi besar kurikulum manasik kesehatan, evaluasi konteks (Context) dapat dimulai jauh sebelum satu sesi pun terlaksana — misalnya menilai apakah kebutuhan revisi memang didasarkan data pergeseran demografis jemaah yang akurat, bukan sekadar asumsi pembuat kebijakan.</w:t>
      </w:r>
    </w:p>
    <w:p>
      <w:pPr>
        <w:pStyle w:val="Heading2"/>
        <w:spacing w:after="180" w:before="360"/>
      </w:pPr>
      <w:r>
        <w:rPr>
          <w:rFonts w:ascii="Calibri" w:cs="Calibri" w:eastAsia="Calibri" w:hAnsi="Calibri"/>
          <w:b/>
          <w:bCs/>
          <w:color w:val="2E75B6"/>
          <w:sz w:val="26"/>
          <w:szCs w:val="26"/>
        </w:rPr>
        <w:t xml:space="preserve">1.3 Memilih Kerangka yang Tepat untuk Konteks Tesis Anda</w:t>
      </w:r>
    </w:p>
    <w:p>
      <w:pPr>
        <w:spacing w:after="200" w:line="300"/>
        <w:jc w:val="both"/>
      </w:pPr>
      <w:r>
        <w:rPr>
          <w:rFonts w:ascii="Calibri" w:cs="Calibri" w:eastAsia="Calibri" w:hAnsi="Calibri"/>
          <w:i w:val="false"/>
          <w:iCs w:val="false"/>
          <w:sz w:val="24"/>
          <w:szCs w:val="24"/>
        </w:rPr>
        <w:t xml:space="preserve">Setelah mengenal dua kerangka di atas, pertanyaan praktis berikutnya adalah bagaimana memilih salah satunya (atau mengombinasikan keduanya) untuk tesis Anda sendiri.</w:t>
      </w:r>
    </w:p>
    <w:p>
      <w:pPr>
        <w:spacing w:after="200" w:line="300"/>
        <w:jc w:val="both"/>
      </w:pPr>
      <w:r>
        <w:rPr>
          <w:rFonts w:ascii="Calibri" w:cs="Calibri" w:eastAsia="Calibri" w:hAnsi="Calibri"/>
          <w:i w:val="false"/>
          <w:iCs w:val="false"/>
          <w:sz w:val="24"/>
          <w:szCs w:val="24"/>
        </w:rPr>
        <w:t xml:space="preserve">Tidak ada kerangka evaluasi tunggal yang superior untuk seluruh konteks. Pemilihan kerangka bergantung pada tahap siklus hidup program yang dievaluasi (program baru versus program yang sudah berjalan lama), pertanyaan riset spesifik yang ingin dijawab, dan ketersediaan data. Sebagai peneliti dengan pengalaman lapangan TKHI, Anda memiliki keunggulan dalam menilai kelayakan praktis penerapan suatu kerangka evaluasi — misalnya, menyadari bahwa dimensi 'Adoption' dalam kerangka RE-AIM memerlukan data tingkat KBIHU yang mungkin sulit diperoleh secara sistematis, sehingga perlu strategi pengumpulan data tambahan yang realistis.</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Jika tesis Anda mengevaluasi kurikulum yang sudah berjalan lima tahun, RE-AIM lebih relevan karena Anda dapat menilai kelima dimensinya dari data yang sudah ada. Jika tesis Anda justru merancang dan menguji modul yang sama sekali baru, CIPP lebih relevan karena membantu Anda menilai kelayakan sejak tahap perencanaan sebelum data outcome tersedia.</w:t>
      </w:r>
    </w:p>
    <w:p>
      <w:pPr>
        <w:pStyle w:val="Heading2"/>
        <w:spacing w:after="180" w:before="360"/>
      </w:pPr>
      <w:r>
        <w:rPr>
          <w:rFonts w:ascii="Calibri" w:cs="Calibri" w:eastAsia="Calibri" w:hAnsi="Calibri"/>
          <w:b/>
          <w:bCs/>
          <w:color w:val="2E75B6"/>
          <w:sz w:val="26"/>
          <w:szCs w:val="26"/>
        </w:rPr>
        <w:t xml:space="preserve">1.4 Keterbatasan Kerangka Evaluasi Impor dan Adaptasi Konteks Lokal</w:t>
      </w:r>
    </w:p>
    <w:p>
      <w:pPr>
        <w:spacing w:after="200" w:line="300"/>
        <w:jc w:val="both"/>
      </w:pPr>
      <w:r>
        <w:rPr>
          <w:rFonts w:ascii="Calibri" w:cs="Calibri" w:eastAsia="Calibri" w:hAnsi="Calibri"/>
          <w:i w:val="false"/>
          <w:iCs w:val="false"/>
          <w:sz w:val="24"/>
          <w:szCs w:val="24"/>
        </w:rPr>
        <w:t xml:space="preserve">Kerangka evaluasi seperti RE-AIM dan CIPP dikembangkan dalam konteks sistem kesehatan masyarakat negara maju dan perlu diadaptasi secara hati-hati untuk konteks kesehatan haji Indonesia yang memiliki karakteristik unik: skala populasi yang sangat besar dalam waktu terbatas, keterlibatan lintas negara (Indonesia dan Arab Saudi), serta dimensi spiritual yang memengaruhi perilaku kesehatan sebagaimana dibahas dalam kerangka Model Keyakinan Kesehatan pada Buku C1 Bab 4. Sebagai peneliti kebijakan, tugas Anda bukan menerapkan kerangka ini secara kaku, melainkan mengadaptasinya secara kritis dengan pertimbangan konteks lokal yang Anda pahami dari pengalaman lapangan.</w:t>
      </w:r>
    </w:p>
    <w:p>
      <w:pPr>
        <w:spacing w:after="120" w:before="300"/>
      </w:pPr>
      <w:r>
        <w:rPr>
          <w:rFonts w:ascii="Calibri" w:cs="Calibri" w:eastAsia="Calibri" w:hAnsi="Calibri"/>
          <w:b/>
          <w:bCs/>
          <w:i/>
          <w:iCs/>
          <w:color w:val="1F4E79"/>
          <w:sz w:val="24"/>
          <w:szCs w:val="24"/>
        </w:rPr>
        <w:t xml:space="preserve">Studi Kasus</w:t>
      </w:r>
    </w:p>
    <w:p>
      <w:pPr>
        <w:spacing w:after="200" w:line="300"/>
        <w:jc w:val="both"/>
      </w:pPr>
      <w:r>
        <w:rPr>
          <w:rFonts w:ascii="Calibri" w:cs="Calibri" w:eastAsia="Calibri" w:hAnsi="Calibri"/>
          <w:i w:val="false"/>
          <w:iCs w:val="false"/>
          <w:sz w:val="24"/>
          <w:szCs w:val="24"/>
        </w:rPr>
        <w:t xml:space="preserve">Seorang peneliti hipotetis menggunakan kerangka RE-AIM untuk mengevaluasi program skrining istithaah kesehatan haji di suatu kabupaten. Ia menemukan bahwa dimensi Effectiveness program (akurasi skrining mengidentifikasi jemaah berisiko tinggi) cukup baik, namun dimensi Reach sangat rendah karena banyak calon jemaah di wilayah terpencil tidak dapat mengakses fasilitas skrining tepat waktu — temuan yang tidak akan terungkap jika evaluasi hanya berfokus pada efektivitas semata. [DATA: rujuk laporan evaluasi resmi Kemenhaj/Kemenkes terbaru untuk data cakupan skrining istithaah aktual].</w:t>
      </w:r>
    </w:p>
    <w:p>
      <w:pPr>
        <w:spacing w:after="120" w:before="300"/>
      </w:pPr>
      <w:r>
        <w:rPr>
          <w:rFonts w:ascii="Calibri" w:cs="Calibri" w:eastAsia="Calibri" w:hAnsi="Calibri"/>
          <w:b/>
          <w:bCs/>
          <w:i/>
          <w:iCs/>
          <w:color w:val="1F4E79"/>
          <w:sz w:val="24"/>
          <w:szCs w:val="24"/>
        </w:rPr>
        <w:t xml:space="preserve">Latihan Analisis</w:t>
      </w:r>
    </w:p>
    <w:p>
      <w:pPr>
        <w:spacing w:after="200" w:line="300"/>
        <w:jc w:val="both"/>
      </w:pPr>
      <w:r>
        <w:rPr>
          <w:rFonts w:ascii="Calibri" w:cs="Calibri" w:eastAsia="Calibri" w:hAnsi="Calibri"/>
          <w:i w:val="false"/>
          <w:iCs w:val="false"/>
          <w:sz w:val="24"/>
          <w:szCs w:val="24"/>
        </w:rPr>
        <w:t xml:space="preserve">1. Pilih satu program kesehatan haji yang Anda kenal, dan petakan program tersebut ke dalam lima dimensi kerangka RE-AIM.</w:t>
      </w:r>
    </w:p>
    <w:p>
      <w:pPr>
        <w:spacing w:after="200" w:line="300"/>
        <w:jc w:val="both"/>
      </w:pPr>
      <w:r>
        <w:rPr>
          <w:rFonts w:ascii="Calibri" w:cs="Calibri" w:eastAsia="Calibri" w:hAnsi="Calibri"/>
          <w:i w:val="false"/>
          <w:iCs w:val="false"/>
          <w:sz w:val="24"/>
          <w:szCs w:val="24"/>
        </w:rPr>
        <w:t xml:space="preserve">2. Jelaskan pada tahap siklus hidup program yang bagaimana kerangka CIPP paling tepat diterapkan, dan berikan contoh program kesehatan haji yang sesuai dengan tahap tersebut.</w:t>
      </w:r>
    </w:p>
    <w:p>
      <w:pPr>
        <w:spacing w:after="200" w:line="300"/>
        <w:jc w:val="both"/>
      </w:pPr>
      <w:r>
        <w:rPr>
          <w:rFonts w:ascii="Calibri" w:cs="Calibri" w:eastAsia="Calibri" w:hAnsi="Calibri"/>
          <w:i w:val="false"/>
          <w:iCs w:val="false"/>
          <w:sz w:val="24"/>
          <w:szCs w:val="24"/>
        </w:rPr>
        <w:t xml:space="preserve">3. Identifikasi satu aspek karakteristik unik kesehatan haji Indonesia yang menuntut adaptasi kerangka evaluasi impor seperti RE-AIM atau CIPP.</w:t>
      </w:r>
    </w:p>
    <w:p>
      <w:r>
        <w:br w:type="page"/>
      </w:r>
    </w:p>
    <w:p>
      <w:pPr>
        <w:pStyle w:val="Heading1"/>
        <w:spacing w:after="240" w:before="480"/>
      </w:pPr>
      <w:r>
        <w:rPr>
          <w:rFonts w:ascii="Calibri" w:cs="Calibri" w:eastAsia="Calibri" w:hAnsi="Calibri"/>
          <w:b/>
          <w:bCs/>
          <w:color w:val="1F4E79"/>
          <w:sz w:val="32"/>
          <w:szCs w:val="32"/>
        </w:rPr>
        <w:t xml:space="preserve">Bab 2. Indikator Keberhasilan Program Manasik Kesehatan</w:t>
      </w:r>
    </w:p>
    <w:p>
      <w:pPr>
        <w:spacing w:after="200" w:line="300"/>
        <w:jc w:val="both"/>
      </w:pPr>
      <w:r>
        <w:rPr>
          <w:rFonts w:ascii="Calibri" w:cs="Calibri" w:eastAsia="Calibri" w:hAnsi="Calibri"/>
          <w:i w:val="false"/>
          <w:iCs w:val="false"/>
          <w:sz w:val="24"/>
          <w:szCs w:val="24"/>
        </w:rPr>
        <w:t xml:space="preserve">Menyusun indikator keberhasilan yang valid dan dapat diukur adalah tulang punggung evaluasi program berbasis bukti. Bab ini membekali Anda dengan prinsip penyusunan indikator yang baik, secara khusus untuk program manasik kesehatan, serta menghindari jebakan umum penggunaan indikator yang tidak benar-benar mengukur keberhasilan substantif.</w:t>
      </w:r>
    </w:p>
    <w:p>
      <w:pPr>
        <w:pStyle w:val="Heading2"/>
        <w:spacing w:after="180" w:before="360"/>
      </w:pPr>
      <w:r>
        <w:rPr>
          <w:rFonts w:ascii="Calibri" w:cs="Calibri" w:eastAsia="Calibri" w:hAnsi="Calibri"/>
          <w:b/>
          <w:bCs/>
          <w:color w:val="2E75B6"/>
          <w:sz w:val="26"/>
          <w:szCs w:val="26"/>
        </w:rPr>
        <w:t xml:space="preserve">2.1 Kriteria SMART dan Perluasannya untuk Indikator Kesehatan Masyarakat</w:t>
      </w:r>
    </w:p>
    <w:p>
      <w:pPr>
        <w:spacing w:after="200" w:line="300"/>
        <w:jc w:val="both"/>
      </w:pPr>
      <w:r>
        <w:rPr>
          <w:rFonts w:ascii="Calibri" w:cs="Calibri" w:eastAsia="Calibri" w:hAnsi="Calibri"/>
          <w:i w:val="false"/>
          <w:iCs w:val="false"/>
          <w:sz w:val="24"/>
          <w:szCs w:val="24"/>
        </w:rPr>
        <w:t xml:space="preserve">Sebelum menyusun satu indikator pun, uji dulu setiap calon indikator Anda terhadap kriteria dasar berikut, yang kemudian perlu diperluas khusus untuk konteks program berskala nasional.</w:t>
      </w:r>
    </w:p>
    <w:p>
      <w:pPr>
        <w:spacing w:after="200" w:line="300"/>
        <w:jc w:val="both"/>
      </w:pPr>
      <w:r>
        <w:rPr>
          <w:rFonts w:ascii="Calibri" w:cs="Calibri" w:eastAsia="Calibri" w:hAnsi="Calibri"/>
          <w:i w:val="false"/>
          <w:iCs w:val="false"/>
          <w:sz w:val="24"/>
          <w:szCs w:val="24"/>
        </w:rPr>
        <w:t xml:space="preserve">Indikator yang baik memenuhi kriteria SMART: Specific (spesifik), Measurable (terukur), Achievable (dapat dicapai), Relevant (relevan dengan tujuan program), dan Time-bound (memiliki kerangka waktu jelas). Dalam konteks program kesehatan masyarakat berskala besar seperti manasik kesehatan, kriteria ini perlu diperluas dengan pertimbangan tambahan: indikator harus dapat dikumpulkan secara konsisten di seluruh unit pelaksana (KBIHU dan puskesmas) tanpa membebani secara berlebihan petugas lapangan yang sudah memiliki beban kerja tinggi.</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Indikator 'peningkatan kesehatan jemaah' tidak memenuhi kriteria SMART karena tidak spesifik dan tidak terukur. Indikator 'persentase peserta yang mampu menyebutkan tiga tanda dehidrasi dalam tes lisan singkat pasca sesi, dikumpulkan oleh fasilitator dalam waktu lima menit tanpa formulir tambahan' jauh lebih memenuhi kriteria SMART sekaligus realistis dikumpulkan di lapangan.</w:t>
      </w:r>
    </w:p>
    <w:p>
      <w:pPr>
        <w:pStyle w:val="Heading2"/>
        <w:spacing w:after="180" w:before="360"/>
      </w:pPr>
      <w:r>
        <w:rPr>
          <w:rFonts w:ascii="Calibri" w:cs="Calibri" w:eastAsia="Calibri" w:hAnsi="Calibri"/>
          <w:b/>
          <w:bCs/>
          <w:color w:val="2E75B6"/>
          <w:sz w:val="26"/>
          <w:szCs w:val="26"/>
        </w:rPr>
        <w:t xml:space="preserve">2.2 Indikator Proses versus Indikator Hasil</w:t>
      </w:r>
    </w:p>
    <w:p>
      <w:pPr>
        <w:spacing w:after="200" w:line="300"/>
        <w:jc w:val="both"/>
      </w:pPr>
      <w:r>
        <w:rPr>
          <w:rFonts w:ascii="Calibri" w:cs="Calibri" w:eastAsia="Calibri" w:hAnsi="Calibri"/>
          <w:i w:val="false"/>
          <w:iCs w:val="false"/>
          <w:sz w:val="24"/>
          <w:szCs w:val="24"/>
        </w:rPr>
        <w:t xml:space="preserve">Perbedaan berikut sering diabaikan dalam pelaporan program kesehatan haji, padahal kekeliruannya dapat menciptakan ilusi keberhasilan yang berbahaya.</w:t>
      </w:r>
    </w:p>
    <w:p>
      <w:pPr>
        <w:spacing w:after="200" w:line="300"/>
        <w:jc w:val="both"/>
      </w:pPr>
      <w:r>
        <w:rPr>
          <w:rFonts w:ascii="Calibri" w:cs="Calibri" w:eastAsia="Calibri" w:hAnsi="Calibri"/>
          <w:i w:val="false"/>
          <w:iCs w:val="false"/>
          <w:sz w:val="24"/>
          <w:szCs w:val="24"/>
        </w:rPr>
        <w:t xml:space="preserve">Indikator proses mengukur pelaksanaan aktivitas program (misalnya jumlah sesi manasik kesehatan yang terselenggara sesuai jadwal), sementara indikator hasil mengukur perubahan yang terjadi pada peserta program (misalnya perubahan pengetahuan atau kesiapan fisik). Program evaluasi yang matang menggunakan kombinasi keduanya: indikator proses memberikan sinyal dini mengenai potensi masalah implementasi sebelum data hasil tersedia, sementara indikator hasil memberikan bukti substantif mengenai pencapaian tujuan program.</w:t>
      </w:r>
    </w:p>
    <w:p>
      <w:pPr>
        <w:spacing w:after="200" w:line="300"/>
        <w:jc w:val="both"/>
      </w:pPr>
      <w:r>
        <w:rPr>
          <w:rFonts w:ascii="Calibri" w:cs="Calibri" w:eastAsia="Calibri" w:hAnsi="Calibri"/>
          <w:i w:val="false"/>
          <w:iCs w:val="false"/>
          <w:sz w:val="24"/>
          <w:szCs w:val="24"/>
        </w:rPr>
        <w:t xml:space="preserve">Kesalahan umum yang perlu dihindari adalah menjadikan indikator proses sebagai satu-satunya ukuran keberhasilan yang dilaporkan kepada pembuat kebijakan, sebagaimana dibahas dalam konteks kerangka logika program pada Buku C1 Bab 2, karena dapat menciptakan ilusi keberhasilan program yang sesungguhnya belum tentu mengubah outcome kesehatan jemaah secara substantif.</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Laporan tahunan yang bangga menyatakan 'hampir seluruh KBIHU telah melaksanakan sesi manasik kesehatan sesuai jadwal' [DATA: rujuk laporan evaluasi resmi Kemenhaj/Kemenkes terbaru untuk angka pelaksanaan aktual] (indikator proses) bisa jadi menyembunyikan kenyataan bahwa skor pengetahuan jemaah pasca sesi (indikator hasil) sama sekali tidak meningkat dibanding tahun-tahun sebelumnya.</w:t>
      </w:r>
    </w:p>
    <w:p>
      <w:pPr>
        <w:pStyle w:val="Heading2"/>
        <w:spacing w:after="180" w:before="360"/>
      </w:pPr>
      <w:r>
        <w:rPr>
          <w:rFonts w:ascii="Calibri" w:cs="Calibri" w:eastAsia="Calibri" w:hAnsi="Calibri"/>
          <w:b/>
          <w:bCs/>
          <w:color w:val="2E75B6"/>
          <w:sz w:val="26"/>
          <w:szCs w:val="26"/>
        </w:rPr>
        <w:t xml:space="preserve">2.3 Indikator Komposit dan Tantangan Interpretasinya</w:t>
      </w:r>
    </w:p>
    <w:p>
      <w:pPr>
        <w:spacing w:after="200" w:line="300"/>
        <w:jc w:val="both"/>
      </w:pPr>
      <w:r>
        <w:rPr>
          <w:rFonts w:ascii="Calibri" w:cs="Calibri" w:eastAsia="Calibri" w:hAnsi="Calibri"/>
          <w:i w:val="false"/>
          <w:iCs w:val="false"/>
          <w:sz w:val="24"/>
          <w:szCs w:val="24"/>
        </w:rPr>
        <w:t xml:space="preserve">Kepraktisan pelaporan sering mendorong penggunaan satu angka tunggal untuk merangkum kinerja program — namun kemudahan ini punya harga tersembunyi yang perlu Anda waspadai.</w:t>
      </w:r>
    </w:p>
    <w:p>
      <w:pPr>
        <w:spacing w:after="200" w:line="300"/>
        <w:jc w:val="both"/>
      </w:pPr>
      <w:r>
        <w:rPr>
          <w:rFonts w:ascii="Calibri" w:cs="Calibri" w:eastAsia="Calibri" w:hAnsi="Calibri"/>
          <w:i w:val="false"/>
          <w:iCs w:val="false"/>
          <w:sz w:val="24"/>
          <w:szCs w:val="24"/>
        </w:rPr>
        <w:t xml:space="preserve">Beberapa program kesehatan haji menggunakan indikator komposit yang menggabungkan beberapa dimensi menjadi satu skor tunggal, misalnya 'Indeks Kesiapan Kesehatan Jemaah' yang menggabungkan skor pengetahuan, status kesehatan fisik, dan kepatuhan pengobatan. Indikator komposit memudahkan pelaporan dan komunikasi kepada pembuat kebijakan, namun berisiko menyembunyikan variasi penting antar-dimensi — misalnya, skor komposit yang tampak baik dapat menyembunyikan kelemahan serius pada satu dimensi spesifik yang sesungguhnya paling menentukan risiko kegawatan di lapangan.</w:t>
      </w:r>
    </w:p>
    <w:p>
      <w:pPr>
        <w:spacing w:after="200" w:line="300"/>
        <w:jc w:val="both"/>
      </w:pPr>
      <w:r>
        <w:rPr>
          <w:rFonts w:ascii="Calibri" w:cs="Calibri" w:eastAsia="Calibri" w:hAnsi="Calibri"/>
          <w:i w:val="false"/>
          <w:iCs w:val="false"/>
          <w:sz w:val="24"/>
          <w:szCs w:val="24"/>
        </w:rPr>
        <w:t xml:space="preserve">Sebagai peneliti kebijakan, Anda perlu mampu menilai secara kritis bagaimana indikator komposit dikonstruksi — bobot masing-masing dimensi, metode agregasi yang digunakan — sebelum menggunakannya sebagai dasar kesimpulan evaluasi atau rekomendasi kebijakan.</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Skor komposit 85 dari 100 terdengar baik, namun jika skor itu tersusun dari nilai kepuasan peserta 95 (bobot besar) dan skor pengetahuan tanda bahaya hanya 60 (bobot kecil), angka gabungan tersebut menyembunyikan kelemahan substantif yang justru paling relevan bagi keselamatan jemaah.</w:t>
      </w:r>
    </w:p>
    <w:p>
      <w:pPr>
        <w:pStyle w:val="Heading2"/>
        <w:spacing w:after="180" w:before="360"/>
      </w:pPr>
      <w:r>
        <w:rPr>
          <w:rFonts w:ascii="Calibri" w:cs="Calibri" w:eastAsia="Calibri" w:hAnsi="Calibri"/>
          <w:b/>
          <w:bCs/>
          <w:color w:val="2E75B6"/>
          <w:sz w:val="26"/>
          <w:szCs w:val="26"/>
        </w:rPr>
        <w:t xml:space="preserve">2.4 Menetapkan Ambang Batas (Benchmark) yang Realistis</w:t>
      </w:r>
    </w:p>
    <w:p>
      <w:pPr>
        <w:spacing w:after="200" w:line="300"/>
        <w:jc w:val="both"/>
      </w:pPr>
      <w:r>
        <w:rPr>
          <w:rFonts w:ascii="Calibri" w:cs="Calibri" w:eastAsia="Calibri" w:hAnsi="Calibri"/>
          <w:i w:val="false"/>
          <w:iCs w:val="false"/>
          <w:sz w:val="24"/>
          <w:szCs w:val="24"/>
        </w:rPr>
        <w:t xml:space="preserve">Indikator keberhasilan memerlukan ambang batas yang jelas untuk menentukan apakah suatu capaian dianggap memadai. Penetapan ambang batas ini idealnya berdasarkan data historis, perbandingan dengan program sejenis (misalnya program kesehatan pada peristiwa massal keagamaan di negara lain), atau konsensus panel ahli — bukan angka yang ditetapkan secara sewenang-wenang. Ambang batas yang terlalu rendah membuat evaluasi kehilangan makna karena hampir selalu 'berhasil', sementara ambang batas yang terlalu tinggi dan tidak realistis dapat mendemoralisasi pelaksana program di lapangan.</w:t>
      </w:r>
    </w:p>
    <w:p>
      <w:pPr>
        <w:spacing w:after="120" w:before="300"/>
      </w:pPr>
      <w:r>
        <w:rPr>
          <w:rFonts w:ascii="Calibri" w:cs="Calibri" w:eastAsia="Calibri" w:hAnsi="Calibri"/>
          <w:b/>
          <w:bCs/>
          <w:i/>
          <w:iCs/>
          <w:color w:val="1F4E79"/>
          <w:sz w:val="24"/>
          <w:szCs w:val="24"/>
        </w:rPr>
        <w:t xml:space="preserve">Studi Kasus</w:t>
      </w:r>
    </w:p>
    <w:p>
      <w:pPr>
        <w:spacing w:after="200" w:line="300"/>
        <w:jc w:val="both"/>
      </w:pPr>
      <w:r>
        <w:rPr>
          <w:rFonts w:ascii="Calibri" w:cs="Calibri" w:eastAsia="Calibri" w:hAnsi="Calibri"/>
          <w:i w:val="false"/>
          <w:iCs w:val="false"/>
          <w:sz w:val="24"/>
          <w:szCs w:val="24"/>
        </w:rPr>
        <w:t xml:space="preserve">Suatu program manasik kesehatan hipotetis melaporkan 'tingkat keberhasilan 95 persen' berdasarkan indikator komposit yang menggabungkan kehadiran, skor pengetahuan, dan kepuasan peserta. Analisis lebih rinci oleh peneliti mengungkap bahwa skor kepuasan peserta yang tinggi (karena sesi menyenangkan) menutupi skor pengetahuan mengenai tanda bahaya dehidrasi yang sesungguhnya rendah — mengungkap risiko bahwa indikator komposit dapat menyembunyikan kelemahan substantif yang justru paling relevan bagi keselamatan jemaah. [DATA: rujuk laporan evaluasi resmi Kemenhaj/Kemenkes terbaru untuk komponen indikator aktual].</w:t>
      </w:r>
    </w:p>
    <w:p>
      <w:pPr>
        <w:spacing w:after="120" w:before="300"/>
      </w:pPr>
      <w:r>
        <w:rPr>
          <w:rFonts w:ascii="Calibri" w:cs="Calibri" w:eastAsia="Calibri" w:hAnsi="Calibri"/>
          <w:b/>
          <w:bCs/>
          <w:i/>
          <w:iCs/>
          <w:color w:val="1F4E79"/>
          <w:sz w:val="24"/>
          <w:szCs w:val="24"/>
        </w:rPr>
        <w:t xml:space="preserve">Latihan Analisis</w:t>
      </w:r>
    </w:p>
    <w:p>
      <w:pPr>
        <w:spacing w:after="200" w:line="300"/>
        <w:jc w:val="both"/>
      </w:pPr>
      <w:r>
        <w:rPr>
          <w:rFonts w:ascii="Calibri" w:cs="Calibri" w:eastAsia="Calibri" w:hAnsi="Calibri"/>
          <w:i w:val="false"/>
          <w:iCs w:val="false"/>
          <w:sz w:val="24"/>
          <w:szCs w:val="24"/>
        </w:rPr>
        <w:t xml:space="preserve">1. Susun satu indikator proses dan satu indikator hasil untuk mengukur keberhasilan sesi manasik kesehatan mengenai topik pengelolaan dehidrasi.</w:t>
      </w:r>
    </w:p>
    <w:p>
      <w:pPr>
        <w:spacing w:after="200" w:line="300"/>
        <w:jc w:val="both"/>
      </w:pPr>
      <w:r>
        <w:rPr>
          <w:rFonts w:ascii="Calibri" w:cs="Calibri" w:eastAsia="Calibri" w:hAnsi="Calibri"/>
          <w:i w:val="false"/>
          <w:iCs w:val="false"/>
          <w:sz w:val="24"/>
          <w:szCs w:val="24"/>
        </w:rPr>
        <w:t xml:space="preserve">2. Identifikasi risiko dari penggunaan indikator komposit pada program kesehatan haji, dan usulkan cara mengurangi risiko tersebut tanpa sepenuhnya meninggalkan kepraktisan pelaporan komposit.</w:t>
      </w:r>
    </w:p>
    <w:p>
      <w:pPr>
        <w:spacing w:after="200" w:line="300"/>
        <w:jc w:val="both"/>
      </w:pPr>
      <w:r>
        <w:rPr>
          <w:rFonts w:ascii="Calibri" w:cs="Calibri" w:eastAsia="Calibri" w:hAnsi="Calibri"/>
          <w:i w:val="false"/>
          <w:iCs w:val="false"/>
          <w:sz w:val="24"/>
          <w:szCs w:val="24"/>
        </w:rPr>
        <w:t xml:space="preserve">3. Diskusikan bagaimana Anda akan menetapkan ambang batas yang realistis untuk indikator keberhasilan program manasik kesehatan di suatu embarkasi yang belum pernah dievaluasi secara sistematis sebelumnya.</w:t>
      </w:r>
    </w:p>
    <w:p>
      <w:r>
        <w:br w:type="page"/>
      </w:r>
    </w:p>
    <w:p>
      <w:pPr>
        <w:pStyle w:val="Heading1"/>
        <w:spacing w:after="240" w:before="480"/>
      </w:pPr>
      <w:r>
        <w:rPr>
          <w:rFonts w:ascii="Calibri" w:cs="Calibri" w:eastAsia="Calibri" w:hAnsi="Calibri"/>
          <w:b/>
          <w:bCs/>
          <w:color w:val="1F4E79"/>
          <w:sz w:val="32"/>
          <w:szCs w:val="32"/>
        </w:rPr>
        <w:t xml:space="preserve">Bab 3. Desain Evaluasi: Pre-Post, Kuasi-Eksperimen, dan Mixed-Methods</w:t>
      </w:r>
    </w:p>
    <w:p>
      <w:pPr>
        <w:spacing w:after="200" w:line="300"/>
        <w:jc w:val="both"/>
      </w:pPr>
      <w:r>
        <w:rPr>
          <w:rFonts w:ascii="Calibri" w:cs="Calibri" w:eastAsia="Calibri" w:hAnsi="Calibri"/>
          <w:i w:val="false"/>
          <w:iCs w:val="false"/>
          <w:sz w:val="24"/>
          <w:szCs w:val="24"/>
        </w:rPr>
        <w:t xml:space="preserve">Buku C1 Bab 5 memperkenalkan gambaran umum metodologi riset lanjutan untuk evaluasi kebijakan. Bab ini memperdalam secara teknis tiga desain evaluasi yang paling sering diterapkan dalam konteks program kesehatan haji: desain pre-post, desain kuasi-eksperimental dengan kelompok pembanding, dan integrasi mixed-methods.</w:t>
      </w:r>
    </w:p>
    <w:p>
      <w:pPr>
        <w:pStyle w:val="Heading2"/>
        <w:spacing w:after="180" w:before="360"/>
      </w:pPr>
      <w:r>
        <w:rPr>
          <w:rFonts w:ascii="Calibri" w:cs="Calibri" w:eastAsia="Calibri" w:hAnsi="Calibri"/>
          <w:b/>
          <w:bCs/>
          <w:color w:val="2E75B6"/>
          <w:sz w:val="26"/>
          <w:szCs w:val="26"/>
        </w:rPr>
        <w:t xml:space="preserve">3.1 Desain Pre-Post: Kekuatan dan Keterbatasannya</w:t>
      </w:r>
    </w:p>
    <w:p>
      <w:pPr>
        <w:spacing w:after="200" w:line="300"/>
        <w:jc w:val="both"/>
      </w:pPr>
      <w:r>
        <w:rPr>
          <w:rFonts w:ascii="Calibri" w:cs="Calibri" w:eastAsia="Calibri" w:hAnsi="Calibri"/>
          <w:i w:val="false"/>
          <w:iCs w:val="false"/>
          <w:sz w:val="24"/>
          <w:szCs w:val="24"/>
        </w:rPr>
        <w:t xml:space="preserve">Desain ini akan menjadi pilihan pertama yang paling mudah Anda terapkan di lapangan — namun kemudahan itu datang dengan sejumlah jebakan yang wajib Anda pahami sebelum menariknya sebagai kesimpulan tesis.</w:t>
      </w:r>
    </w:p>
    <w:p>
      <w:pPr>
        <w:spacing w:after="200" w:line="300"/>
        <w:jc w:val="both"/>
      </w:pPr>
      <w:r>
        <w:rPr>
          <w:rFonts w:ascii="Calibri" w:cs="Calibri" w:eastAsia="Calibri" w:hAnsi="Calibri"/>
          <w:i w:val="false"/>
          <w:iCs w:val="false"/>
          <w:sz w:val="24"/>
          <w:szCs w:val="24"/>
        </w:rPr>
        <w:t xml:space="preserve">Desain pre-post — mengukur outcome sebelum dan sesudah intervensi pada kelompok yang sama — merupakan desain paling sederhana dan paling sering digunakan dalam evaluasi program manasik kesehatan karena kepraktisan pelaksanaannya. Namun, desain ini memiliki ancaman validitas internal yang signifikan: perubahan yang teramati antara pra dan pasca dapat disebabkan oleh faktor selain intervensi itu sendiri, seperti efek pematangan (maturation), efek pengujian berulang (testing effect), atau peristiwa eksternal yang terjadi bersamaan (history effect).</w:t>
      </w:r>
    </w:p>
    <w:p>
      <w:pPr>
        <w:spacing w:after="200" w:line="300"/>
        <w:jc w:val="both"/>
      </w:pPr>
      <w:r>
        <w:rPr>
          <w:rFonts w:ascii="Calibri" w:cs="Calibri" w:eastAsia="Calibri" w:hAnsi="Calibri"/>
          <w:i w:val="false"/>
          <w:iCs w:val="false"/>
          <w:sz w:val="24"/>
          <w:szCs w:val="24"/>
        </w:rPr>
        <w:t xml:space="preserve">Sebagai peneliti yang menggunakan desain ini, Anda perlu secara eksplisit mengakui keterbatasan ini dalam interpretasi hasil, dan mempertimbangkan penambahan elemen desain yang memperkuat validitas, seperti pengukuran multiple baseline sebelum intervensi untuk mengendalikan tren yang sudah ada sebelumnya.</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Peningkatan skor pengetahuan pasca sesi manasik kesehatan bisa jadi bukan semata karena materi baru, melainkan karena peserta sekadar lebih terbiasa menjawab format tes yang sama (testing effect) setelah mengerjakannya dua kali dalam rentang waktu singkat.</w:t>
      </w:r>
    </w:p>
    <w:p>
      <w:pPr>
        <w:pStyle w:val="Heading2"/>
        <w:spacing w:after="180" w:before="360"/>
      </w:pPr>
      <w:r>
        <w:rPr>
          <w:rFonts w:ascii="Calibri" w:cs="Calibri" w:eastAsia="Calibri" w:hAnsi="Calibri"/>
          <w:b/>
          <w:bCs/>
          <w:color w:val="2E75B6"/>
          <w:sz w:val="26"/>
          <w:szCs w:val="26"/>
        </w:rPr>
        <w:t xml:space="preserve">3.2 Memperkuat Desain dengan Kelompok Pembanding</w:t>
      </w:r>
    </w:p>
    <w:p>
      <w:pPr>
        <w:spacing w:after="200" w:line="300"/>
        <w:jc w:val="both"/>
      </w:pPr>
      <w:r>
        <w:rPr>
          <w:rFonts w:ascii="Calibri" w:cs="Calibri" w:eastAsia="Calibri" w:hAnsi="Calibri"/>
          <w:i w:val="false"/>
          <w:iCs w:val="false"/>
          <w:sz w:val="24"/>
          <w:szCs w:val="24"/>
        </w:rPr>
        <w:t xml:space="preserve">Untuk mengatasi sebagian besar keterbatasan di atas, langkah berikut menjadi peningkatan paling praktis yang dapat Anda lakukan tanpa memerlukan randomisasi penuh.</w:t>
      </w:r>
    </w:p>
    <w:p>
      <w:pPr>
        <w:spacing w:after="200" w:line="300"/>
        <w:jc w:val="both"/>
      </w:pPr>
      <w:r>
        <w:rPr>
          <w:rFonts w:ascii="Calibri" w:cs="Calibri" w:eastAsia="Calibri" w:hAnsi="Calibri"/>
          <w:i w:val="false"/>
          <w:iCs w:val="false"/>
          <w:sz w:val="24"/>
          <w:szCs w:val="24"/>
        </w:rPr>
        <w:t xml:space="preserve">Penambahan kelompok pembanding non-acak (non-randomized comparison group) — misalnya membandingkan embarkasi yang menerima kurikulum manasik kesehatan revisi dengan embarkasi yang masih menggunakan kurikulum lama — secara substansial memperkuat validitas kesimpulan dibandingkan desain pre-post tanpa pembanding. Tantangan utama desain ini adalah memastikan kelompok pembanding cukup serupa karakteristiknya dengan kelompok intervensi (misalnya komposisi usia dan tingkat pendidikan jemaah), atau menggunakan teknik statistik seperti propensity score matching untuk menyeimbangkan perbedaan karakteristik yang teramati antar kelompok.</w:t>
      </w:r>
    </w:p>
    <w:p>
      <w:pPr>
        <w:spacing w:after="200" w:line="300"/>
        <w:jc w:val="both"/>
      </w:pPr>
      <w:r>
        <w:rPr>
          <w:rFonts w:ascii="Calibri" w:cs="Calibri" w:eastAsia="Calibri" w:hAnsi="Calibri"/>
          <w:i w:val="false"/>
          <w:iCs w:val="false"/>
          <w:sz w:val="24"/>
          <w:szCs w:val="24"/>
        </w:rPr>
        <w:t xml:space="preserve">Pemilihan kelompok pembanding yang tepat menuntut pemahaman konteks lapangan yang mendalam — pengetahuan yang Anda miliki sebagai lulusan Fellowship dengan pengalaman TKHI lintas embarkasi menjadi modal berharga dalam menilai kesetaraan kelompok pembanding secara substantif, melampaui sekadar kesetaraan statistik semata.</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Anda mungkin tahu dari pengalaman lapangan bahwa dua embarkasi yang tampak 'setara secara statistik' (usia dan pendidikan serupa) sebenarnya memiliki budaya kepatuhan yang sangat berbeda karena perbedaan pola bimbingan KBIHU setempat — nuansa yang tidak tertangkap data administratif namun penting Anda pertimbangkan saat memilih kelompok pembanding.</w:t>
      </w:r>
    </w:p>
    <w:p>
      <w:pPr>
        <w:pStyle w:val="Heading2"/>
        <w:spacing w:after="180" w:before="360"/>
      </w:pPr>
      <w:r>
        <w:rPr>
          <w:rFonts w:ascii="Calibri" w:cs="Calibri" w:eastAsia="Calibri" w:hAnsi="Calibri"/>
          <w:b/>
          <w:bCs/>
          <w:color w:val="2E75B6"/>
          <w:sz w:val="26"/>
          <w:szCs w:val="26"/>
        </w:rPr>
        <w:t xml:space="preserve">3.3 Integrasi Mixed-Methods dalam Desain Evaluasi</w:t>
      </w:r>
    </w:p>
    <w:p>
      <w:pPr>
        <w:spacing w:after="200" w:line="300"/>
        <w:jc w:val="both"/>
      </w:pPr>
      <w:r>
        <w:rPr>
          <w:rFonts w:ascii="Calibri" w:cs="Calibri" w:eastAsia="Calibri" w:hAnsi="Calibri"/>
          <w:i w:val="false"/>
          <w:iCs w:val="false"/>
          <w:sz w:val="24"/>
          <w:szCs w:val="24"/>
        </w:rPr>
        <w:t xml:space="preserve">Ketiga strategi integrasi berikut menjawab pertanyaan praktis: kapan sebaiknya data kualitatif dikumpulkan relatif terhadap data kuantitatif dalam satu desain evaluasi?</w:t>
      </w:r>
    </w:p>
    <w:p>
      <w:pPr>
        <w:pStyle w:val="Heading3"/>
        <w:spacing w:after="140" w:before="280"/>
      </w:pPr>
      <w:r>
        <w:rPr>
          <w:rFonts w:ascii="Calibri" w:cs="Calibri" w:eastAsia="Calibri" w:hAnsi="Calibri"/>
          <w:b/>
          <w:bCs/>
          <w:i/>
          <w:iCs/>
          <w:color w:val="2E75B6"/>
          <w:sz w:val="24"/>
          <w:szCs w:val="24"/>
        </w:rPr>
        <w:t xml:space="preserve">3.3.1 Desain Sekuensial Eksplanatori</w:t>
      </w:r>
    </w:p>
    <w:p>
      <w:pPr>
        <w:spacing w:after="200" w:line="300"/>
        <w:jc w:val="both"/>
      </w:pPr>
      <w:r>
        <w:rPr>
          <w:rFonts w:ascii="Calibri" w:cs="Calibri" w:eastAsia="Calibri" w:hAnsi="Calibri"/>
          <w:i w:val="false"/>
          <w:iCs w:val="false"/>
          <w:sz w:val="24"/>
          <w:szCs w:val="24"/>
        </w:rPr>
        <w:t xml:space="preserve">Data kuantitatif dikumpulkan lebih dulu, diikuti wawancara kualitatif untuk menjelaskan temuan kuantitatif yang mengejutkan atau ambigu.</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Setelah menemukan satu embarkasi memiliki hasil pre-post jauh lebih rendah dari embarkasi lain, peneliti baru kemudian mewawancarai fasilitator di embarkasi tersebut untuk memahami mengapa.</w:t>
      </w:r>
    </w:p>
    <w:p>
      <w:pPr>
        <w:pStyle w:val="Heading3"/>
        <w:spacing w:after="140" w:before="280"/>
      </w:pPr>
      <w:r>
        <w:rPr>
          <w:rFonts w:ascii="Calibri" w:cs="Calibri" w:eastAsia="Calibri" w:hAnsi="Calibri"/>
          <w:b/>
          <w:bCs/>
          <w:i/>
          <w:iCs/>
          <w:color w:val="2E75B6"/>
          <w:sz w:val="24"/>
          <w:szCs w:val="24"/>
        </w:rPr>
        <w:t xml:space="preserve">3.3.2 Desain Sekuensial Eksploratori</w:t>
      </w:r>
    </w:p>
    <w:p>
      <w:pPr>
        <w:spacing w:after="200" w:line="300"/>
        <w:jc w:val="both"/>
      </w:pPr>
      <w:r>
        <w:rPr>
          <w:rFonts w:ascii="Calibri" w:cs="Calibri" w:eastAsia="Calibri" w:hAnsi="Calibri"/>
          <w:i w:val="false"/>
          <w:iCs w:val="false"/>
          <w:sz w:val="24"/>
          <w:szCs w:val="24"/>
        </w:rPr>
        <w:t xml:space="preserve">Wawancara kualitatif awal digunakan untuk menyusun instrumen kuantitatif yang lebih valid secara kontekstual.</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Sebelum menyusun kuesioner literasi kesehatan, peneliti terlebih dahulu mewawancarai beberapa calon jemaah untuk memastikan istilah-istilah yang akan dipakai dalam kuesioner benar-benar dipahami sebagaimana dimaksud.</w:t>
      </w:r>
    </w:p>
    <w:p>
      <w:pPr>
        <w:pStyle w:val="Heading3"/>
        <w:spacing w:after="140" w:before="280"/>
      </w:pPr>
      <w:r>
        <w:rPr>
          <w:rFonts w:ascii="Calibri" w:cs="Calibri" w:eastAsia="Calibri" w:hAnsi="Calibri"/>
          <w:b/>
          <w:bCs/>
          <w:i/>
          <w:iCs/>
          <w:color w:val="2E75B6"/>
          <w:sz w:val="24"/>
          <w:szCs w:val="24"/>
        </w:rPr>
        <w:t xml:space="preserve">3.3.3 Desain Konvergen</w:t>
      </w:r>
    </w:p>
    <w:p>
      <w:pPr>
        <w:spacing w:after="200" w:line="300"/>
        <w:jc w:val="both"/>
      </w:pPr>
      <w:r>
        <w:rPr>
          <w:rFonts w:ascii="Calibri" w:cs="Calibri" w:eastAsia="Calibri" w:hAnsi="Calibri"/>
          <w:i w:val="false"/>
          <w:iCs w:val="false"/>
          <w:sz w:val="24"/>
          <w:szCs w:val="24"/>
        </w:rPr>
        <w:t xml:space="preserve">Data kuantitatif dan kualitatif dikumpulkan secara paralel dan dibandingkan pada tahap analisis.</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Survei pengetahuan dan wawancara mendalam dilakukan pada minggu yang sama terhadap kelompok peserta yang sama, kemudian kedua hasil dibandingkan untuk melihat apakah keduanya saling menguatkan atau justru bertentangan.</w:t>
      </w:r>
    </w:p>
    <w:p>
      <w:pPr>
        <w:pStyle w:val="Heading2"/>
        <w:spacing w:after="180" w:before="360"/>
      </w:pPr>
      <w:r>
        <w:rPr>
          <w:rFonts w:ascii="Calibri" w:cs="Calibri" w:eastAsia="Calibri" w:hAnsi="Calibri"/>
          <w:b/>
          <w:bCs/>
          <w:color w:val="2E75B6"/>
          <w:sz w:val="26"/>
          <w:szCs w:val="26"/>
        </w:rPr>
        <w:t xml:space="preserve">3.4 Ancaman Validitas Eksternal: Generalisasi Temuan Lintas Embarkasi</w:t>
      </w:r>
    </w:p>
    <w:p>
      <w:pPr>
        <w:spacing w:after="200" w:line="300"/>
        <w:jc w:val="both"/>
      </w:pPr>
      <w:r>
        <w:rPr>
          <w:rFonts w:ascii="Calibri" w:cs="Calibri" w:eastAsia="Calibri" w:hAnsi="Calibri"/>
          <w:i w:val="false"/>
          <w:iCs w:val="false"/>
          <w:sz w:val="24"/>
          <w:szCs w:val="24"/>
        </w:rPr>
        <w:t xml:space="preserve">Temuan evaluasi yang diperoleh dari satu embarkasi atau satu musim haji tidak serta-merta dapat digeneralisasi ke embarkasi lain atau musim haji berikutnya, mengingat variasi karakteristik jemaah, kualitas fasilitator KBIHU, dan kondisi cuaca antar musim. Sebagai peneliti yang bertanggung jawab, Anda perlu secara eksplisit membahas keterbatasan generalisasi (external validity) dalam laporan evaluasi Anda, dan mempertimbangkan apakah rekomendasi kebijakan yang dihasilkan perlu diuji lebih lanjut pada konteks embarkasi lain sebelum diadopsi secara nasional.</w:t>
      </w:r>
    </w:p>
    <w:p>
      <w:pPr>
        <w:spacing w:after="120" w:before="300"/>
      </w:pPr>
      <w:r>
        <w:rPr>
          <w:rFonts w:ascii="Calibri" w:cs="Calibri" w:eastAsia="Calibri" w:hAnsi="Calibri"/>
          <w:b/>
          <w:bCs/>
          <w:i/>
          <w:iCs/>
          <w:color w:val="1F4E79"/>
          <w:sz w:val="24"/>
          <w:szCs w:val="24"/>
        </w:rPr>
        <w:t xml:space="preserve">Studi Kasus</w:t>
      </w:r>
    </w:p>
    <w:p>
      <w:pPr>
        <w:spacing w:after="200" w:line="300"/>
        <w:jc w:val="both"/>
      </w:pPr>
      <w:r>
        <w:rPr>
          <w:rFonts w:ascii="Calibri" w:cs="Calibri" w:eastAsia="Calibri" w:hAnsi="Calibri"/>
          <w:i w:val="false"/>
          <w:iCs w:val="false"/>
          <w:sz w:val="24"/>
          <w:szCs w:val="24"/>
        </w:rPr>
        <w:t xml:space="preserve">Tim evaluasi hipotetis menggunakan desain pre-post dengan kelompok pembanding untuk menilai dampak revisi kurikulum manasik kesehatan pada dua embarkasi dengan karakteristik jemaah yang relatif serupa. Setelah menemukan bahwa satu embarkasi menunjukkan peningkatan pengetahuan yang jauh lebih tinggi dibandingkan embarkasi lain meski menggunakan kurikulum yang sama, tim melakukan wawancara kualitatif dan menemukan perbedaan kunci pada kualitas pelatihan fasilitator KBIHU antar kedua embarkasi tersebut — temuan yang tidak akan terungkap tanpa integrasi mixed-methods. [DATA: rujuk laporan evaluasi resmi Kemenhaj/Kemenkes terbaru untuk hasil komparasi aktual antar embarkasi].</w:t>
      </w:r>
    </w:p>
    <w:p>
      <w:pPr>
        <w:spacing w:after="120" w:before="300"/>
      </w:pPr>
      <w:r>
        <w:rPr>
          <w:rFonts w:ascii="Calibri" w:cs="Calibri" w:eastAsia="Calibri" w:hAnsi="Calibri"/>
          <w:b/>
          <w:bCs/>
          <w:i/>
          <w:iCs/>
          <w:color w:val="1F4E79"/>
          <w:sz w:val="24"/>
          <w:szCs w:val="24"/>
        </w:rPr>
        <w:t xml:space="preserve">Latihan Analisis</w:t>
      </w:r>
    </w:p>
    <w:p>
      <w:pPr>
        <w:spacing w:after="200" w:line="300"/>
        <w:jc w:val="both"/>
      </w:pPr>
      <w:r>
        <w:rPr>
          <w:rFonts w:ascii="Calibri" w:cs="Calibri" w:eastAsia="Calibri" w:hAnsi="Calibri"/>
          <w:i w:val="false"/>
          <w:iCs w:val="false"/>
          <w:sz w:val="24"/>
          <w:szCs w:val="24"/>
        </w:rPr>
        <w:t xml:space="preserve">1. Identifikasi minimal tiga ancaman validitas internal yang relevan bagi desain pre-post tanpa kelompok pembanding dalam konteks evaluasi program manasik kesehatan.</w:t>
      </w:r>
    </w:p>
    <w:p>
      <w:pPr>
        <w:spacing w:after="200" w:line="300"/>
        <w:jc w:val="both"/>
      </w:pPr>
      <w:r>
        <w:rPr>
          <w:rFonts w:ascii="Calibri" w:cs="Calibri" w:eastAsia="Calibri" w:hAnsi="Calibri"/>
          <w:i w:val="false"/>
          <w:iCs w:val="false"/>
          <w:sz w:val="24"/>
          <w:szCs w:val="24"/>
        </w:rPr>
        <w:t xml:space="preserve">2. Usulkan kriteria kesetaraan yang perlu dipertimbangkan ketika memilih embarkasi pembanding untuk desain kuasi-eksperimental evaluasi kurikulum manasik kesehatan.</w:t>
      </w:r>
    </w:p>
    <w:p>
      <w:pPr>
        <w:spacing w:after="200" w:line="300"/>
        <w:jc w:val="both"/>
      </w:pPr>
      <w:r>
        <w:rPr>
          <w:rFonts w:ascii="Calibri" w:cs="Calibri" w:eastAsia="Calibri" w:hAnsi="Calibri"/>
          <w:i w:val="false"/>
          <w:iCs w:val="false"/>
          <w:sz w:val="24"/>
          <w:szCs w:val="24"/>
        </w:rPr>
        <w:t xml:space="preserve">3. Rancang strategi mixed-methods sekuensial eksplanatori sederhana untuk menjelaskan temuan kuantitatif yang menunjukkan variasi hasil program antar dua kelompok jemaah.</w:t>
      </w:r>
    </w:p>
    <w:p>
      <w:r>
        <w:br w:type="page"/>
      </w:r>
    </w:p>
    <w:p>
      <w:pPr>
        <w:pStyle w:val="Heading1"/>
        <w:spacing w:after="240" w:before="480"/>
      </w:pPr>
      <w:r>
        <w:rPr>
          <w:rFonts w:ascii="Calibri" w:cs="Calibri" w:eastAsia="Calibri" w:hAnsi="Calibri"/>
          <w:b/>
          <w:bCs/>
          <w:color w:val="1F4E79"/>
          <w:sz w:val="32"/>
          <w:szCs w:val="32"/>
        </w:rPr>
        <w:t xml:space="preserve">Bab 4. Analisis Cost-Effectiveness Program Kesehatan Haji</w:t>
      </w:r>
    </w:p>
    <w:p>
      <w:pPr>
        <w:spacing w:after="200" w:line="300"/>
        <w:jc w:val="both"/>
      </w:pPr>
      <w:r>
        <w:rPr>
          <w:rFonts w:ascii="Calibri" w:cs="Calibri" w:eastAsia="Calibri" w:hAnsi="Calibri"/>
          <w:i w:val="false"/>
          <w:iCs w:val="false"/>
          <w:sz w:val="24"/>
          <w:szCs w:val="24"/>
        </w:rPr>
        <w:t xml:space="preserve">Sebagaimana disinggung pada Buku C1 Bab 6, analisis biaya-manfaat merupakan alat persuasi penting dalam penyusunan rekomendasi kebijakan. Bab ini memperdalam secara teknis prinsip analisis cost-effectiveness yang relevan diterapkan pada evaluasi program kesehatan haji, mengingat keterbatasan anggaran yang selalu menjadi pertimbangan pembuat kebijakan dalam menentukan prioritas program.</w:t>
      </w:r>
    </w:p>
    <w:p>
      <w:pPr>
        <w:pStyle w:val="Heading2"/>
        <w:spacing w:after="180" w:before="360"/>
      </w:pPr>
      <w:r>
        <w:rPr>
          <w:rFonts w:ascii="Calibri" w:cs="Calibri" w:eastAsia="Calibri" w:hAnsi="Calibri"/>
          <w:b/>
          <w:bCs/>
          <w:color w:val="2E75B6"/>
          <w:sz w:val="26"/>
          <w:szCs w:val="26"/>
        </w:rPr>
        <w:t xml:space="preserve">4.1 Konsep Dasar Cost-Effectiveness Analysis (CEA)</w:t>
      </w:r>
    </w:p>
    <w:p>
      <w:pPr>
        <w:spacing w:after="200" w:line="300"/>
        <w:jc w:val="both"/>
      </w:pPr>
      <w:r>
        <w:rPr>
          <w:rFonts w:ascii="Calibri" w:cs="Calibri" w:eastAsia="Calibri" w:hAnsi="Calibri"/>
          <w:i w:val="false"/>
          <w:iCs w:val="false"/>
          <w:sz w:val="24"/>
          <w:szCs w:val="24"/>
        </w:rPr>
        <w:t xml:space="preserve">Analisis cost-effectiveness membandingkan biaya suatu intervensi dengan hasil kesehatan yang dicapai, umumnya dinyatakan dalam rasio biaya per unit hasil (misalnya biaya per kasus kegawatan yang dicegah, atau biaya per jemaah yang mencapai skor kesiapan kesehatan tertentu). Berbeda dari analisis cost-benefit yang mengonversi seluruh hasil menjadi nilai moneter, CEA mempertahankan hasil kesehatan dalam satuan aslinya, sehingga lebih mudah diinterpretasikan oleh pembuat kebijakan kesehatan yang terbiasa berpikir dalam ukuran hasil klinis, bukan nilai uang semata.</w:t>
      </w:r>
    </w:p>
    <w:p>
      <w:pPr>
        <w:pStyle w:val="Heading2"/>
        <w:spacing w:after="180" w:before="360"/>
      </w:pPr>
      <w:r>
        <w:rPr>
          <w:rFonts w:ascii="Calibri" w:cs="Calibri" w:eastAsia="Calibri" w:hAnsi="Calibri"/>
          <w:b/>
          <w:bCs/>
          <w:color w:val="2E75B6"/>
          <w:sz w:val="26"/>
          <w:szCs w:val="26"/>
        </w:rPr>
        <w:t xml:space="preserve">4.2 Mengidentifikasi Komponen Biaya Program Kesehatan Haji</w:t>
      </w:r>
    </w:p>
    <w:p>
      <w:pPr>
        <w:spacing w:after="200" w:line="300"/>
        <w:jc w:val="both"/>
      </w:pPr>
      <w:r>
        <w:rPr>
          <w:rFonts w:ascii="Calibri" w:cs="Calibri" w:eastAsia="Calibri" w:hAnsi="Calibri"/>
          <w:i w:val="false"/>
          <w:iCs w:val="false"/>
          <w:sz w:val="24"/>
          <w:szCs w:val="24"/>
        </w:rPr>
        <w:t xml:space="preserve">Langkah pertama analisis CEA yang paling sering terlewat adalah pemetaan komponen biaya secara menyeluruh — banyak evaluasi hanya menghitung biaya yang tampak jelas, padahal biaya tersembunyi seringkali sama besarnya.</w:t>
      </w:r>
    </w:p>
    <w:p>
      <w:pPr>
        <w:spacing w:after="200" w:line="300"/>
        <w:jc w:val="both"/>
      </w:pPr>
      <w:r>
        <w:rPr>
          <w:rFonts w:ascii="Calibri" w:cs="Calibri" w:eastAsia="Calibri" w:hAnsi="Calibri"/>
          <w:i w:val="false"/>
          <w:iCs w:val="false"/>
          <w:sz w:val="24"/>
          <w:szCs w:val="24"/>
        </w:rPr>
        <w:t xml:space="preserve">Komponen biaya program manasik kesehatan mencakup biaya langsung (honorarium fasilitator, materi cetak dan digital, ruang pelatihan) dan biaya tidak langsung (waktu yang dikorbankan calon jemaah dan kader KBIHU untuk mengikuti sesi, biaya koordinasi lintas instansi). Analisis cost-effectiveness yang komprehensif perlu mempertimbangkan kedua jenis biaya ini, meski biaya tidak langsung seringkali lebih sulit diestimasi secara presisi dan dapat menggunakan pendekatan estimasi kasar yang tetap dijelaskan asumsinya secara transparan.</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Sebuah program mungkin tampak murah jika hanya dihitung biaya cetak materi per peserta, namun jika turut dihitung waktu kerja fasilitator KBIHU yang sesungguhnya bisa digunakan untuk aktivitas lain, biaya riil per peserta bisa jauh lebih tinggi dari yang tercatat dalam anggaran resmi.</w:t>
      </w:r>
    </w:p>
    <w:p>
      <w:pPr>
        <w:pStyle w:val="Heading2"/>
        <w:spacing w:after="180" w:before="360"/>
      </w:pPr>
      <w:r>
        <w:rPr>
          <w:rFonts w:ascii="Calibri" w:cs="Calibri" w:eastAsia="Calibri" w:hAnsi="Calibri"/>
          <w:b/>
          <w:bCs/>
          <w:color w:val="2E75B6"/>
          <w:sz w:val="26"/>
          <w:szCs w:val="26"/>
        </w:rPr>
        <w:t xml:space="preserve">4.3 Perbandingan Cost-Effectiveness Antar Alternatif Program</w:t>
      </w:r>
    </w:p>
    <w:p>
      <w:pPr>
        <w:spacing w:after="200" w:line="300"/>
        <w:jc w:val="both"/>
      </w:pPr>
      <w:r>
        <w:rPr>
          <w:rFonts w:ascii="Calibri" w:cs="Calibri" w:eastAsia="Calibri" w:hAnsi="Calibri"/>
          <w:i w:val="false"/>
          <w:iCs w:val="false"/>
          <w:sz w:val="24"/>
          <w:szCs w:val="24"/>
        </w:rPr>
        <w:t xml:space="preserve">Nilai praktis analisis CEA baru benar-benar terasa ketika digunakan bukan untuk menilai satu program secara terisolasi, melainkan untuk membandingkan pilihan-pilihan yang bersaing memperebutkan anggaran yang sama.</w:t>
      </w:r>
    </w:p>
    <w:p>
      <w:pPr>
        <w:spacing w:after="200" w:line="300"/>
        <w:jc w:val="both"/>
      </w:pPr>
      <w:r>
        <w:rPr>
          <w:rFonts w:ascii="Calibri" w:cs="Calibri" w:eastAsia="Calibri" w:hAnsi="Calibri"/>
          <w:i w:val="false"/>
          <w:iCs w:val="false"/>
          <w:sz w:val="24"/>
          <w:szCs w:val="24"/>
        </w:rPr>
        <w:t xml:space="preserve">Nilai praktis analisis cost-effectiveness paling terasa ketika membandingkan dua atau lebih alternatif program yang bersaing memperebutkan alokasi anggaran terbatas — misalnya membandingkan investasi pada perluasan cakupan manasik kesehatan tatap muka versus pengembangan platform edukasi digital. Perbandingan rasio cost-effectiveness antar alternatif ini, dikombinasikan dengan pertimbangan kelayakan operasional dan kesetaraan akses (mengingat tidak semua calon jemaah memiliki akses digital yang setara), memberikan dasar argumentasi yang jauh lebih kuat bagi pembuat kebijakan dibandingkan hanya menyajikan estimasi biaya program secara terisolasi.</w:t>
      </w:r>
    </w:p>
    <w:p>
      <w:pPr>
        <w:spacing w:after="200" w:line="300"/>
        <w:jc w:val="both"/>
      </w:pPr>
      <w:r>
        <w:rPr>
          <w:rFonts w:ascii="Calibri" w:cs="Calibri" w:eastAsia="Calibri" w:hAnsi="Calibri"/>
          <w:i w:val="false"/>
          <w:iCs w:val="false"/>
          <w:sz w:val="24"/>
          <w:szCs w:val="24"/>
        </w:rPr>
        <w:t xml:space="preserve">Sebagai peneliti dengan pengalaman lapangan, Anda perlu mewaspadai bahwa alternatif dengan rasio cost-effectiveness terbaik secara matematis belum tentu merupakan pilihan terbaik jika mengorbankan kesetaraan akses bagi kelompok jemaah rentan, seperti jemaah lanjut usia atau jemaah di wilayah dengan keterbatasan infrastruktur digital.</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Aplikasi digital mungkin memiliki biaya per jemaah yang jauh lebih rendah dibandingkan sesi tatap muka begitu skalanya membesar, namun jika jemaah lanjut usia di wilayah pedesaan tidak dapat mengaksesnya sama sekali, angka cost-effectiveness yang tampak unggul itu menyembunyikan ketimpangan akses yang serius.</w:t>
      </w:r>
    </w:p>
    <w:p>
      <w:pPr>
        <w:pStyle w:val="Heading2"/>
        <w:spacing w:after="180" w:before="360"/>
      </w:pPr>
      <w:r>
        <w:rPr>
          <w:rFonts w:ascii="Calibri" w:cs="Calibri" w:eastAsia="Calibri" w:hAnsi="Calibri"/>
          <w:b/>
          <w:bCs/>
          <w:color w:val="2E75B6"/>
          <w:sz w:val="26"/>
          <w:szCs w:val="26"/>
        </w:rPr>
        <w:t xml:space="preserve">4.4 Keterbatasan dan Kehati-hatian dalam Interpretasi CEA</w:t>
      </w:r>
    </w:p>
    <w:p>
      <w:pPr>
        <w:spacing w:after="200" w:line="300"/>
        <w:jc w:val="both"/>
      </w:pPr>
      <w:r>
        <w:rPr>
          <w:rFonts w:ascii="Calibri" w:cs="Calibri" w:eastAsia="Calibri" w:hAnsi="Calibri"/>
          <w:i w:val="false"/>
          <w:iCs w:val="false"/>
          <w:sz w:val="24"/>
          <w:szCs w:val="24"/>
        </w:rPr>
        <w:t xml:space="preserve">Analisis cost-effectiveness memiliki keterbatasan penting yang perlu disampaikan secara jujur dalam laporan riset: hasil sangat bergantung pada asumsi yang digunakan (terutama estimasi biaya tidak langsung), horizon waktu analisis yang dipilih dapat memengaruhi kesimpulan secara signifikan, dan CEA pada dasarnya adalah alat pendukung keputusan, bukan pengganti pertimbangan nilai dan prioritas kebijakan yang lebih luas, termasuk pertimbangan keadilan dan pemerataan akses yang telah disinggung di atas.</w:t>
      </w:r>
    </w:p>
    <w:p>
      <w:pPr>
        <w:spacing w:after="120" w:before="300"/>
      </w:pPr>
      <w:r>
        <w:rPr>
          <w:rFonts w:ascii="Calibri" w:cs="Calibri" w:eastAsia="Calibri" w:hAnsi="Calibri"/>
          <w:b/>
          <w:bCs/>
          <w:i/>
          <w:iCs/>
          <w:color w:val="1F4E79"/>
          <w:sz w:val="24"/>
          <w:szCs w:val="24"/>
        </w:rPr>
        <w:t xml:space="preserve">Studi Kasus</w:t>
      </w:r>
    </w:p>
    <w:p>
      <w:pPr>
        <w:spacing w:after="200" w:line="300"/>
        <w:jc w:val="both"/>
      </w:pPr>
      <w:r>
        <w:rPr>
          <w:rFonts w:ascii="Calibri" w:cs="Calibri" w:eastAsia="Calibri" w:hAnsi="Calibri"/>
          <w:i w:val="false"/>
          <w:iCs w:val="false"/>
          <w:sz w:val="24"/>
          <w:szCs w:val="24"/>
        </w:rPr>
        <w:t xml:space="preserve">Tim peneliti hipotetis membandingkan cost-effectiveness antara perluasan sesi manasik kesehatan tatap muka dengan pengembangan aplikasi edukasi kesehatan haji berbasis gawai. Hasil awal menunjukkan aplikasi digital memiliki rasio cost-effectiveness per jemaah yang lebih baik, namun analisis lebih lanjut mengungkap bahwa jemaah lanjut usia di wilayah pedesaan memiliki tingkat literasi digital rendah, sehingga tim merekomendasikan pendekatan hibrida yang mempertahankan sesi tatap muka bagi kelompok tersebut sembari memperluas platform digital bagi kelompok jemaah yang lebih muda dan melek digital. [DATA: rujuk laporan evaluasi resmi Kemenhaj/Kemenkes terbaru untuk estimasi biaya aktual masing-masing alternatif].</w:t>
      </w:r>
    </w:p>
    <w:p>
      <w:pPr>
        <w:spacing w:after="120" w:before="300"/>
      </w:pPr>
      <w:r>
        <w:rPr>
          <w:rFonts w:ascii="Calibri" w:cs="Calibri" w:eastAsia="Calibri" w:hAnsi="Calibri"/>
          <w:b/>
          <w:bCs/>
          <w:i/>
          <w:iCs/>
          <w:color w:val="1F4E79"/>
          <w:sz w:val="24"/>
          <w:szCs w:val="24"/>
        </w:rPr>
        <w:t xml:space="preserve">Latihan Analisis</w:t>
      </w:r>
    </w:p>
    <w:p>
      <w:pPr>
        <w:spacing w:after="200" w:line="300"/>
        <w:jc w:val="both"/>
      </w:pPr>
      <w:r>
        <w:rPr>
          <w:rFonts w:ascii="Calibri" w:cs="Calibri" w:eastAsia="Calibri" w:hAnsi="Calibri"/>
          <w:i w:val="false"/>
          <w:iCs w:val="false"/>
          <w:sz w:val="24"/>
          <w:szCs w:val="24"/>
        </w:rPr>
        <w:t xml:space="preserve">1. Identifikasi komponen biaya langsung dan tidak langsung untuk program manasik kesehatan tatap muka di suatu KBIHU.</w:t>
      </w:r>
    </w:p>
    <w:p>
      <w:pPr>
        <w:spacing w:after="200" w:line="300"/>
        <w:jc w:val="both"/>
      </w:pPr>
      <w:r>
        <w:rPr>
          <w:rFonts w:ascii="Calibri" w:cs="Calibri" w:eastAsia="Calibri" w:hAnsi="Calibri"/>
          <w:i w:val="false"/>
          <w:iCs w:val="false"/>
          <w:sz w:val="24"/>
          <w:szCs w:val="24"/>
        </w:rPr>
        <w:t xml:space="preserve">2. Jelaskan mengapa alternatif program dengan rasio cost-effectiveness terbaik secara matematis tidak selalu merupakan pilihan kebijakan terbaik dalam konteks kesehatan haji.</w:t>
      </w:r>
    </w:p>
    <w:p>
      <w:pPr>
        <w:spacing w:after="200" w:line="300"/>
        <w:jc w:val="both"/>
      </w:pPr>
      <w:r>
        <w:rPr>
          <w:rFonts w:ascii="Calibri" w:cs="Calibri" w:eastAsia="Calibri" w:hAnsi="Calibri"/>
          <w:i w:val="false"/>
          <w:iCs w:val="false"/>
          <w:sz w:val="24"/>
          <w:szCs w:val="24"/>
        </w:rPr>
        <w:t xml:space="preserve">3. Diskusikan bagaimana Anda akan menjelaskan keterbatasan asumsi analisis cost-effectiveness kepada pembuat kebijakan yang mungkin cenderung menginterpretasikan angka CEA sebagai kepastian mutlak.</w:t>
      </w:r>
    </w:p>
    <w:p>
      <w:r>
        <w:br w:type="page"/>
      </w:r>
    </w:p>
    <w:p>
      <w:pPr>
        <w:pStyle w:val="Heading1"/>
        <w:spacing w:after="240" w:before="480"/>
      </w:pPr>
      <w:r>
        <w:rPr>
          <w:rFonts w:ascii="Calibri" w:cs="Calibri" w:eastAsia="Calibri" w:hAnsi="Calibri"/>
          <w:b/>
          <w:bCs/>
          <w:color w:val="1F4E79"/>
          <w:sz w:val="32"/>
          <w:szCs w:val="32"/>
        </w:rPr>
        <w:t xml:space="preserve">Bab 5. Studi Kasus: Evaluasi Dampak Manasik Kesehatan terhadap Angka Kematian</w:t>
      </w:r>
    </w:p>
    <w:p>
      <w:pPr>
        <w:spacing w:after="200" w:line="300"/>
        <w:jc w:val="both"/>
      </w:pPr>
      <w:r>
        <w:rPr>
          <w:rFonts w:ascii="Calibri" w:cs="Calibri" w:eastAsia="Calibri" w:hAnsi="Calibri"/>
          <w:i w:val="false"/>
          <w:iCs w:val="false"/>
          <w:sz w:val="24"/>
          <w:szCs w:val="24"/>
        </w:rPr>
        <w:t xml:space="preserve">Bab ini menyajikan pembahasan mendalam melalui format studi kasus terintegrasi, mengintegrasikan seluruh kerangka kerja, indikator, desain evaluasi, dan analisis cost-effectiveness yang telah dibahas pada bab-bab sebelumnya, diterapkan pada pertanyaan evaluasi yang paling penting secara kebijakan: apakah program manasik kesehatan secara keseluruhan berasosiasi dengan penurunan angka kematian jemaah haji Indonesia.</w:t>
      </w:r>
    </w:p>
    <w:p>
      <w:pPr>
        <w:pStyle w:val="Heading2"/>
        <w:spacing w:after="180" w:before="360"/>
      </w:pPr>
      <w:r>
        <w:rPr>
          <w:rFonts w:ascii="Calibri" w:cs="Calibri" w:eastAsia="Calibri" w:hAnsi="Calibri"/>
          <w:b/>
          <w:bCs/>
          <w:color w:val="2E75B6"/>
          <w:sz w:val="26"/>
          <w:szCs w:val="26"/>
        </w:rPr>
        <w:t xml:space="preserve">5.1 Merumuskan Pertanyaan Evaluasi yang Dapat Dijawab</w:t>
      </w:r>
    </w:p>
    <w:p>
      <w:pPr>
        <w:spacing w:after="200" w:line="300"/>
        <w:jc w:val="both"/>
      </w:pPr>
      <w:r>
        <w:rPr>
          <w:rFonts w:ascii="Calibri" w:cs="Calibri" w:eastAsia="Calibri" w:hAnsi="Calibri"/>
          <w:i w:val="false"/>
          <w:iCs w:val="false"/>
          <w:sz w:val="24"/>
          <w:szCs w:val="24"/>
        </w:rPr>
        <w:t xml:space="preserve">Sebelum membaca lebih jauh, penting disadari bahwa pertanyaan besar dalam judul bab ini justru adalah contoh pertanyaan yang TIDAK dapat dijawab secara langsung — dan memahami mengapa demikian adalah pelajaran pertama bab ini.</w:t>
      </w:r>
    </w:p>
    <w:p>
      <w:pPr>
        <w:spacing w:after="200" w:line="300"/>
        <w:jc w:val="both"/>
      </w:pPr>
      <w:r>
        <w:rPr>
          <w:rFonts w:ascii="Calibri" w:cs="Calibri" w:eastAsia="Calibri" w:hAnsi="Calibri"/>
          <w:i w:val="false"/>
          <w:iCs w:val="false"/>
          <w:sz w:val="24"/>
          <w:szCs w:val="24"/>
        </w:rPr>
        <w:t xml:space="preserve">Pertanyaan 'apakah manasik kesehatan menurunkan angka kematian jemaah' terlalu luas dan sulit dijawab secara meyakinkan melalui satu desain riset tunggal, mengingat angka kematian jemaah dipengaruhi banyak faktor selain manasik kesehatan — kualitas layanan KKHI, cuaca musim haji, komposisi usia jemaah tahun tersebut, dan kapasitas fasilitas kesehatan Arab Saudi. Merumuskan pertanyaan evaluasi yang dapat dijawab secara metodologis menuntut Anda mempersempit fokus, misalnya: 'apakah revisi kurikulum manasik kesehatan pada topik pengenalan tanda bahaya kardiovaskular berasosiasi dengan penurunan proporsi keterlambatan rujukan kasus kardiovaskular ke KKHI', sebuah pertanyaan yang lebih spesifik dan realistis dijawab dalam kerangka waktu dan sumber daya riset yang tersedia.</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Judul bab ini sengaja dibuat ambisius untuk menggambarkan pertanyaan kebijakan yang ideal namun tidak realistis dijawab langsung. Studi kasus di bawah ini akan menunjukkan bagaimana pertanyaan besar tersebut dipecah menjadi pertanyaan spesifik yang benar-benar dapat dijawab dalam satu tesis.</w:t>
      </w:r>
    </w:p>
    <w:p>
      <w:pPr>
        <w:pStyle w:val="Heading2"/>
        <w:spacing w:after="180" w:before="360"/>
      </w:pPr>
      <w:r>
        <w:rPr>
          <w:rFonts w:ascii="Calibri" w:cs="Calibri" w:eastAsia="Calibri" w:hAnsi="Calibri"/>
          <w:b/>
          <w:bCs/>
          <w:color w:val="2E75B6"/>
          <w:sz w:val="26"/>
          <w:szCs w:val="26"/>
        </w:rPr>
        <w:t xml:space="preserve">5.2 Menyusun Kerangka Analitik Terintegrasi</w:t>
      </w:r>
    </w:p>
    <w:p>
      <w:pPr>
        <w:spacing w:after="200" w:line="300"/>
        <w:jc w:val="both"/>
      </w:pPr>
      <w:r>
        <w:rPr>
          <w:rFonts w:ascii="Calibri" w:cs="Calibri" w:eastAsia="Calibri" w:hAnsi="Calibri"/>
          <w:i w:val="false"/>
          <w:iCs w:val="false"/>
          <w:sz w:val="24"/>
          <w:szCs w:val="24"/>
        </w:rPr>
        <w:t xml:space="preserve">Studi kasus dalam bab ini mengilustrasikan bagaimana kerangka logika program (Buku C1 Bab 2), kerangka RE-AIM (Bab 1 buku ini), indikator proses dan hasil (Bab 2), desain kuasi-eksperimental dengan kelompok pembanding (Bab 3), serta analisis cost-effectiveness (Bab 4) dapat diintegrasikan menjadi satu kerangka analitik evaluasi yang koheren. Integrasi ini penting dipahami karena tesis evaluasi kebijakan yang baik jarang menggunakan satu kerangka atau metode secara terisolasi, melainkan mengombinasikan beberapa elemen metodologis sesuai kebutuhan pertanyaan riset spesifik.</w:t>
      </w:r>
    </w:p>
    <w:p>
      <w:pPr>
        <w:pStyle w:val="Heading2"/>
        <w:spacing w:after="180" w:before="360"/>
      </w:pPr>
      <w:r>
        <w:rPr>
          <w:rFonts w:ascii="Calibri" w:cs="Calibri" w:eastAsia="Calibri" w:hAnsi="Calibri"/>
          <w:b/>
          <w:bCs/>
          <w:color w:val="2E75B6"/>
          <w:sz w:val="26"/>
          <w:szCs w:val="26"/>
        </w:rPr>
        <w:t xml:space="preserve">5.3 Interpretasi Temuan dalam Konteks Multi-Faktor</w:t>
      </w:r>
    </w:p>
    <w:p>
      <w:pPr>
        <w:spacing w:after="200" w:line="300"/>
        <w:jc w:val="both"/>
      </w:pPr>
      <w:r>
        <w:rPr>
          <w:rFonts w:ascii="Calibri" w:cs="Calibri" w:eastAsia="Calibri" w:hAnsi="Calibri"/>
          <w:i w:val="false"/>
          <w:iCs w:val="false"/>
          <w:sz w:val="24"/>
          <w:szCs w:val="24"/>
        </w:rPr>
        <w:t xml:space="preserve">Setelah memperoleh hasil analisis, tantangan berikutnya yang sama pentingnya adalah bagaimana menuliskan interpretasinya secara jujur — inilah yang membedakan riset kebijakan yang kredibel dari yang berlebihan mengklaim.</w:t>
      </w:r>
    </w:p>
    <w:p>
      <w:pPr>
        <w:spacing w:after="200" w:line="300"/>
        <w:jc w:val="both"/>
      </w:pPr>
      <w:r>
        <w:rPr>
          <w:rFonts w:ascii="Calibri" w:cs="Calibri" w:eastAsia="Calibri" w:hAnsi="Calibri"/>
          <w:i w:val="false"/>
          <w:iCs w:val="false"/>
          <w:sz w:val="24"/>
          <w:szCs w:val="24"/>
        </w:rPr>
        <w:t xml:space="preserve">Ketika temuan evaluasi menunjukkan asosiasi antara revisi kurikulum dengan penurunan keterlambatan rujukan, tantangan interpretasi berikutnya adalah memisahkan kontribusi kurikulum manasik kesehatan dari faktor-faktor lain yang mungkin berubah bersamaan, seperti perbaikan sistem rujukan KKHI atau perubahan komposisi usia jemaah pada musim haji yang dievaluasi. Sebagaimana ditekankan pada Buku C1 Bab 5 mengenai kausalitas dalam konteks kebijakan publik, kejujuran metodologis mengharuskan Anda menyajikan kekuatan asosiasi yang ditemukan disertai pengakuan eksplisit terhadap faktor perancu yang tidak sepenuhnya dapat dikendalikan dalam desain observasional.</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Kalimat kesimpulan yang jujur akan berbunyi seperti 'revisi kurikulum berasosiasi dengan pemendekan waktu rujukan [DATA: rujuk laporan evaluasi resmi Kemenhaj/Kemenkes terbaru untuk besaran aktual], meski kami tidak dapat sepenuhnya mengesampingkan kontribusi perbaikan sistem komunikasi KKHI yang terjadi bersamaan pada musim yang sama' — bukan klaim berlebihan seperti 'revisi kurikulum terbukti menyelamatkan nyawa jemaah'.</w:t>
      </w:r>
    </w:p>
    <w:p>
      <w:pPr>
        <w:pStyle w:val="Heading2"/>
        <w:spacing w:after="180" w:before="360"/>
      </w:pPr>
      <w:r>
        <w:rPr>
          <w:rFonts w:ascii="Calibri" w:cs="Calibri" w:eastAsia="Calibri" w:hAnsi="Calibri"/>
          <w:b/>
          <w:bCs/>
          <w:color w:val="2E75B6"/>
          <w:sz w:val="26"/>
          <w:szCs w:val="26"/>
        </w:rPr>
        <w:t xml:space="preserve">5.4 Dari Temuan Studi Kasus ke Rekomendasi Kebijakan Berjenjang</w:t>
      </w:r>
    </w:p>
    <w:p>
      <w:pPr>
        <w:spacing w:after="200" w:line="300"/>
        <w:jc w:val="both"/>
      </w:pPr>
      <w:r>
        <w:rPr>
          <w:rFonts w:ascii="Calibri" w:cs="Calibri" w:eastAsia="Calibri" w:hAnsi="Calibri"/>
          <w:i w:val="false"/>
          <w:iCs w:val="false"/>
          <w:sz w:val="24"/>
          <w:szCs w:val="24"/>
        </w:rPr>
        <w:t xml:space="preserve">Mengikuti prinsip penyusunan rekomendasi kebijakan pada Buku C1 Bab 6, temuan dari studi kasus evaluasi semacam ini idealnya diterjemahkan menjadi rekomendasi berjenjang: perbaikan segera pada materi kurikulum yang terbukti berasosiasi dengan perbaikan outcome, disertai rekomendasi riset lanjutan dengan desain yang lebih kuat (misalnya multi-embarkasi dengan kontrol faktor perancu yang lebih ketat) untuk memperkuat basis bukti sebelum kebijakan diadopsi secara nasional secara permanen.</w:t>
      </w:r>
    </w:p>
    <w:p>
      <w:pPr>
        <w:spacing w:after="120" w:before="300"/>
      </w:pPr>
      <w:r>
        <w:rPr>
          <w:rFonts w:ascii="Calibri" w:cs="Calibri" w:eastAsia="Calibri" w:hAnsi="Calibri"/>
          <w:b/>
          <w:bCs/>
          <w:i/>
          <w:iCs/>
          <w:color w:val="1F4E79"/>
          <w:sz w:val="24"/>
          <w:szCs w:val="24"/>
        </w:rPr>
        <w:t xml:space="preserve">Studi Kasus Terintegrasi</w:t>
      </w:r>
    </w:p>
    <w:p>
      <w:pPr>
        <w:spacing w:after="200" w:line="300"/>
        <w:jc w:val="both"/>
      </w:pPr>
      <w:r>
        <w:rPr>
          <w:rFonts w:ascii="Calibri" w:cs="Calibri" w:eastAsia="Calibri" w:hAnsi="Calibri"/>
          <w:i w:val="false"/>
          <w:iCs w:val="false"/>
          <w:sz w:val="24"/>
          <w:szCs w:val="24"/>
        </w:rPr>
        <w:t xml:space="preserve">Sebuah tim riset kebijakan hipotetis merancang evaluasi komprehensif dampak revisi modul manasik kesehatan kardiovaskular menggunakan kerangka logika program, indikator proses (jumlah sesi terlaksana, kualitas fasilitator), indikator hasil (skor pengetahuan tanda bahaya, waktu rujukan kasus kardiovaskular ke KKHI), desain kuasi-eksperimental dua embarkasi pembanding, dan estimasi cost-effectiveness revisi kurikulum dibandingkan kurikulum lama. Tim menemukan asosiasi positif antara revisi kurikulum dan pemendekan waktu rujukan, namun secara eksplisit mencatat keterbatasan generalisasi karena hanya mencakup dua embarkasi dalam satu musim haji, dan merekomendasikan replikasi pada skala lebih luas sebelum adopsi nasional permanen. [DATA: rujuk laporan evaluasi resmi Kemenhaj/Kemenkes terbaru untuk seluruh angka dan hasil aktual dalam studi kasus terintegrasi ini].</w:t>
      </w:r>
    </w:p>
    <w:p>
      <w:pPr>
        <w:spacing w:after="120" w:before="300"/>
      </w:pPr>
      <w:r>
        <w:rPr>
          <w:rFonts w:ascii="Calibri" w:cs="Calibri" w:eastAsia="Calibri" w:hAnsi="Calibri"/>
          <w:b/>
          <w:bCs/>
          <w:i/>
          <w:iCs/>
          <w:color w:val="1F4E79"/>
          <w:sz w:val="24"/>
          <w:szCs w:val="24"/>
        </w:rPr>
        <w:t xml:space="preserve">Latihan Analisis</w:t>
      </w:r>
    </w:p>
    <w:p>
      <w:pPr>
        <w:spacing w:after="200" w:line="300"/>
        <w:jc w:val="both"/>
      </w:pPr>
      <w:r>
        <w:rPr>
          <w:rFonts w:ascii="Calibri" w:cs="Calibri" w:eastAsia="Calibri" w:hAnsi="Calibri"/>
          <w:i w:val="false"/>
          <w:iCs w:val="false"/>
          <w:sz w:val="24"/>
          <w:szCs w:val="24"/>
        </w:rPr>
        <w:t xml:space="preserve">1. Persempit pertanyaan evaluasi umum 'apakah manasik kesehatan efektif' menjadi pertanyaan spesifik yang dapat dijawab melalui satu desain riset dalam kerangka waktu tesis Magister Anda.</w:t>
      </w:r>
    </w:p>
    <w:p>
      <w:pPr>
        <w:spacing w:after="200" w:line="300"/>
        <w:jc w:val="both"/>
      </w:pPr>
      <w:r>
        <w:rPr>
          <w:rFonts w:ascii="Calibri" w:cs="Calibri" w:eastAsia="Calibri" w:hAnsi="Calibri"/>
          <w:i w:val="false"/>
          <w:iCs w:val="false"/>
          <w:sz w:val="24"/>
          <w:szCs w:val="24"/>
        </w:rPr>
        <w:t xml:space="preserve">2. Identifikasi elemen kerangka kerja, indikator, dan desain evaluasi dari Bab 1-4 buku ini yang paling relevan diintegrasikan untuk menjawab pertanyaan pada butir 1.</w:t>
      </w:r>
    </w:p>
    <w:p>
      <w:pPr>
        <w:spacing w:after="200" w:line="300"/>
        <w:jc w:val="both"/>
      </w:pPr>
      <w:r>
        <w:rPr>
          <w:rFonts w:ascii="Calibri" w:cs="Calibri" w:eastAsia="Calibri" w:hAnsi="Calibri"/>
          <w:i w:val="false"/>
          <w:iCs w:val="false"/>
          <w:sz w:val="24"/>
          <w:szCs w:val="24"/>
        </w:rPr>
        <w:t xml:space="preserve">3. Rumuskan rekomendasi kebijakan berjenjang (segera versus memerlukan riset lanjutan) berdasarkan temuan hipotetis yang Anda rancang sendiri untuk pertanyaan evaluasi pada butir 1.</w:t>
      </w:r>
    </w:p>
    <w:p>
      <w:r>
        <w:br w:type="page"/>
      </w:r>
    </w:p>
    <w:p>
      <w:pPr>
        <w:pStyle w:val="Heading1"/>
        <w:spacing w:after="240" w:before="480"/>
      </w:pPr>
      <w:r>
        <w:rPr>
          <w:rFonts w:ascii="Calibri" w:cs="Calibri" w:eastAsia="Calibri" w:hAnsi="Calibri"/>
          <w:b/>
          <w:bCs/>
          <w:color w:val="1F4E79"/>
          <w:sz w:val="32"/>
          <w:szCs w:val="32"/>
        </w:rPr>
        <w:t xml:space="preserve">Bab 6. Pelaporan Hasil Evaluasi untuk Pengambil Kebijakan</w:t>
      </w:r>
    </w:p>
    <w:p>
      <w:pPr>
        <w:spacing w:after="200" w:line="300"/>
        <w:jc w:val="both"/>
      </w:pPr>
      <w:r>
        <w:rPr>
          <w:rFonts w:ascii="Calibri" w:cs="Calibri" w:eastAsia="Calibri" w:hAnsi="Calibri"/>
          <w:i w:val="false"/>
          <w:iCs w:val="false"/>
          <w:sz w:val="24"/>
          <w:szCs w:val="24"/>
        </w:rPr>
        <w:t xml:space="preserve">Bab penutup buku ini berfokus pada keterampilan praktis menyusun laporan evaluasi yang efektif menjangkau dan memengaruhi pengambil kebijakan di Kemenhaj dan Kemenkes, melengkapi keterampilan penyusunan rekomendasi kebijakan dan policy brief yang telah dibahas pada Buku C1 Bab 6 dan 7.</w:t>
      </w:r>
    </w:p>
    <w:p>
      <w:pPr>
        <w:pStyle w:val="Heading2"/>
        <w:spacing w:after="180" w:before="360"/>
      </w:pPr>
      <w:r>
        <w:rPr>
          <w:rFonts w:ascii="Calibri" w:cs="Calibri" w:eastAsia="Calibri" w:hAnsi="Calibri"/>
          <w:b/>
          <w:bCs/>
          <w:color w:val="2E75B6"/>
          <w:sz w:val="26"/>
          <w:szCs w:val="26"/>
        </w:rPr>
        <w:t xml:space="preserve">6.1 Struktur Laporan Evaluasi yang Berorientasi Pengguna</w:t>
      </w:r>
    </w:p>
    <w:p>
      <w:pPr>
        <w:spacing w:after="200" w:line="300"/>
        <w:jc w:val="both"/>
      </w:pPr>
      <w:r>
        <w:rPr>
          <w:rFonts w:ascii="Calibri" w:cs="Calibri" w:eastAsia="Calibri" w:hAnsi="Calibri"/>
          <w:i w:val="false"/>
          <w:iCs w:val="false"/>
          <w:sz w:val="24"/>
          <w:szCs w:val="24"/>
        </w:rPr>
        <w:t xml:space="preserve">Struktur berikut sengaja membalik urutan yang mungkin sudah Anda kenal dari laporan akademik — pembalikan ini bukan tanpa alasan.</w:t>
      </w:r>
    </w:p>
    <w:p>
      <w:pPr>
        <w:spacing w:after="200" w:line="300"/>
        <w:jc w:val="both"/>
      </w:pPr>
      <w:r>
        <w:rPr>
          <w:rFonts w:ascii="Calibri" w:cs="Calibri" w:eastAsia="Calibri" w:hAnsi="Calibri"/>
          <w:i w:val="false"/>
          <w:iCs w:val="false"/>
          <w:sz w:val="24"/>
          <w:szCs w:val="24"/>
        </w:rPr>
        <w:t xml:space="preserve">Laporan evaluasi yang efektif disusun dengan mempertimbangkan bahwa pembacanya — pejabat Kemenhaj dan Kemenkes — memiliki keterbatasan waktu dan mungkin tidak memiliki latar belakang metodologi riset yang mendalam. Struktur yang direkomendasikan menempatkan ringkasan eksekutif dan rekomendasi kunci di bagian paling depan laporan, diikuti detail metodologi dan temuan lengkap di bagian belakang sebagai referensi bagi pembaca yang memerlukan verifikasi teknis lebih mendalam — kebalikan dari struktur artikel ilmiah konvensional yang menempatkan metodologi di awal.</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Bandingkan dengan artikel jurnal yang selalu dimulai dari Pendahuluan lalu Metodologi. Laporan kebijakan yang efektif justru dimulai dengan 'Ringkasan: kami merekomendasikan X berdasarkan temuan Y' di halaman pertama, dan pembaca yang penasaran dengan metodologi dapat membaca ke halaman-halaman berikutnya jika mereka membutuhkannya.</w:t>
      </w:r>
    </w:p>
    <w:p>
      <w:pPr>
        <w:pStyle w:val="Heading2"/>
        <w:spacing w:after="180" w:before="360"/>
      </w:pPr>
      <w:r>
        <w:rPr>
          <w:rFonts w:ascii="Calibri" w:cs="Calibri" w:eastAsia="Calibri" w:hAnsi="Calibri"/>
          <w:b/>
          <w:bCs/>
          <w:color w:val="2E75B6"/>
          <w:sz w:val="26"/>
          <w:szCs w:val="26"/>
        </w:rPr>
        <w:t xml:space="preserve">6.2 Visualisasi Data untuk Pengambil Kebijakan Non-Teknis</w:t>
      </w:r>
    </w:p>
    <w:p>
      <w:pPr>
        <w:spacing w:after="200" w:line="300"/>
        <w:jc w:val="both"/>
      </w:pPr>
      <w:r>
        <w:rPr>
          <w:rFonts w:ascii="Calibri" w:cs="Calibri" w:eastAsia="Calibri" w:hAnsi="Calibri"/>
          <w:i w:val="false"/>
          <w:iCs w:val="false"/>
          <w:sz w:val="24"/>
          <w:szCs w:val="24"/>
        </w:rPr>
        <w:t xml:space="preserve">Prinsip visualisasi berikut akan sering bertentangan dengan naluri akademik Anda untuk menampilkan data selengkap mungkin — namun untuk audiens ini, lebih sedikit seringkali lebih efektif.</w:t>
      </w:r>
    </w:p>
    <w:p>
      <w:pPr>
        <w:spacing w:after="200" w:line="300"/>
        <w:jc w:val="both"/>
      </w:pPr>
      <w:r>
        <w:rPr>
          <w:rFonts w:ascii="Calibri" w:cs="Calibri" w:eastAsia="Calibri" w:hAnsi="Calibri"/>
          <w:i w:val="false"/>
          <w:iCs w:val="false"/>
          <w:sz w:val="24"/>
          <w:szCs w:val="24"/>
        </w:rPr>
        <w:t xml:space="preserve">Visualisasi data yang efektif bagi pengambil kebijakan mengutamakan kesederhanaan dan kejelasan pesan dibandingkan kelengkapan teknis. Grafik batang sederhana yang membandingkan indikator sebelum dan sesudah intervensi, atau peta sederhana yang menunjukkan variasi capaian antar embarkasi, umumnya lebih efektif menyampaikan pesan dibandingkan tabel statistik lengkap dengan berbagai uji signifikansi yang lebih sesuai untuk lampiran teknis atau publikasi ilmiah.</w:t>
      </w:r>
    </w:p>
    <w:p>
      <w:pPr>
        <w:spacing w:after="200" w:line="300"/>
        <w:jc w:val="both"/>
      </w:pPr>
      <w:r>
        <w:rPr>
          <w:rFonts w:ascii="Calibri" w:cs="Calibri" w:eastAsia="Calibri" w:hAnsi="Calibri"/>
          <w:i w:val="false"/>
          <w:iCs w:val="false"/>
          <w:sz w:val="24"/>
          <w:szCs w:val="24"/>
        </w:rPr>
        <w:t xml:space="preserve">Prinsip penting dalam visualisasi data kebijakan adalah kejujuran — menghindari pemilihan skala sumbu atau potongan data yang dapat menyesatkan interpretasi pembaca, sekalipun tujuannya untuk memperkuat argumentasi rekomendasi yang Anda yakini benar.</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Alih-alih menyajikan tabel regresi lengkap dengan nilai p dan interval kepercayaan, satu grafik batang sederhana yang menunjukkan 'skor pengetahuan sebelum: 45, sesudah: 78' sudah cukup menyampaikan pesan utama kepada pejabat Kemenhaj, dengan tabel lengkap tetap tersedia di lampiran bagi yang memerlukan.</w:t>
      </w:r>
    </w:p>
    <w:p>
      <w:pPr>
        <w:pStyle w:val="Heading2"/>
        <w:spacing w:after="180" w:before="360"/>
      </w:pPr>
      <w:r>
        <w:rPr>
          <w:rFonts w:ascii="Calibri" w:cs="Calibri" w:eastAsia="Calibri" w:hAnsi="Calibri"/>
          <w:b/>
          <w:bCs/>
          <w:color w:val="2E75B6"/>
          <w:sz w:val="26"/>
          <w:szCs w:val="26"/>
        </w:rPr>
        <w:t xml:space="preserve">6.3 Presentasi Lisan kepada Pemangku Kebijakan</w:t>
      </w:r>
    </w:p>
    <w:p>
      <w:pPr>
        <w:spacing w:after="200" w:line="300"/>
        <w:jc w:val="both"/>
      </w:pPr>
      <w:r>
        <w:rPr>
          <w:rFonts w:ascii="Calibri" w:cs="Calibri" w:eastAsia="Calibri" w:hAnsi="Calibri"/>
          <w:i w:val="false"/>
          <w:iCs w:val="false"/>
          <w:sz w:val="24"/>
          <w:szCs w:val="24"/>
        </w:rPr>
        <w:t xml:space="preserve">Selain laporan tertulis, momen berikut seringkali menjadi titik paling menentukan dalam seluruh perjalanan riset kebijakan Anda.</w:t>
      </w:r>
    </w:p>
    <w:p>
      <w:pPr>
        <w:spacing w:after="200" w:line="300"/>
        <w:jc w:val="both"/>
      </w:pPr>
      <w:r>
        <w:rPr>
          <w:rFonts w:ascii="Calibri" w:cs="Calibri" w:eastAsia="Calibri" w:hAnsi="Calibri"/>
          <w:i w:val="false"/>
          <w:iCs w:val="false"/>
          <w:sz w:val="24"/>
          <w:szCs w:val="24"/>
        </w:rPr>
        <w:t xml:space="preserve">Selain laporan tertulis, kesempatan presentasi lisan langsung kepada pejabat Kemenhaj atau Kemenkes seringkali menjadi momen paling menentukan dalam memengaruhi keputusan kebijakan. Presentasi yang efektif dimulai dengan masalah dan implikasinya bagi keselamatan jemaah (menciptakan urgensi), dilanjutkan temuan kunci yang didukung visual sederhana, dan diakhiri rekomendasi konkret yang dijenjangkan berdasarkan kelayakan implementasi — mengikuti alur naratif yang sama dengan struktur policy brief yang dibahas pada Buku C1 Bab 6, namun disesuaikan dengan dinamika interaksi langsung dan sesi tanya jawab.</w:t>
      </w:r>
    </w:p>
    <w:p>
      <w:pPr>
        <w:spacing w:after="200" w:line="300"/>
        <w:jc w:val="both"/>
      </w:pPr>
      <w:r>
        <w:rPr>
          <w:rFonts w:ascii="Calibri" w:cs="Calibri" w:eastAsia="Calibri" w:hAnsi="Calibri"/>
          <w:i w:val="false"/>
          <w:iCs w:val="false"/>
          <w:sz w:val="24"/>
          <w:szCs w:val="24"/>
        </w:rPr>
        <w:t xml:space="preserve">Sebagai lulusan Fellowship dengan pengalaman lapangan otentik, Anda memiliki keunggulan dalam sesi tanya jawab dibandingkan peneliti murni tanpa pengalaman lapangan — kemampuan menjawab pertanyaan teknis operasional pejabat kebijakan dengan kredibilitas pengalaman langsung, bukan hanya berdasarkan data sekunder.</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Ketika seorang pejabat bertanya 'apakah rekomendasi ini realistis dijalankan mengingat keterbatasan jumlah fasilitator di lapangan', Anda dapat menjawab langsung dari pengalaman pribadi sebagai mantan TKHI — jawaban yang jauh lebih meyakinkan dibandingkan peneliti yang hanya mengandalkan data sekunder tanpa pernah berada di lapangan.</w:t>
      </w:r>
    </w:p>
    <w:p>
      <w:pPr>
        <w:pStyle w:val="Heading2"/>
        <w:spacing w:after="180" w:before="360"/>
      </w:pPr>
      <w:r>
        <w:rPr>
          <w:rFonts w:ascii="Calibri" w:cs="Calibri" w:eastAsia="Calibri" w:hAnsi="Calibri"/>
          <w:b/>
          <w:bCs/>
          <w:color w:val="2E75B6"/>
          <w:sz w:val="26"/>
          <w:szCs w:val="26"/>
        </w:rPr>
        <w:t xml:space="preserve">6.4 Menindaklanjuti Pelaporan: Membangun Hubungan Berkelanjutan dengan Pemangku Kebijakan</w:t>
      </w:r>
    </w:p>
    <w:p>
      <w:pPr>
        <w:spacing w:after="200" w:line="300"/>
        <w:jc w:val="both"/>
      </w:pPr>
      <w:r>
        <w:rPr>
          <w:rFonts w:ascii="Calibri" w:cs="Calibri" w:eastAsia="Calibri" w:hAnsi="Calibri"/>
          <w:i w:val="false"/>
          <w:iCs w:val="false"/>
          <w:sz w:val="24"/>
          <w:szCs w:val="24"/>
        </w:rPr>
        <w:t xml:space="preserve">Pelaporan hasil evaluasi idealnya bukan interaksi satu kali, melainkan awal dari hubungan berkelanjutan dengan pemangku kebijakan yang relevan. Menindaklanjuti dengan menawarkan diri sebagai narasumber pada forum tinjauan tahunan (sebagaimana direkomendasikan dalam dokumen perencanaan ekosistem pendidikan kedokteran haji), atau menawarkan kolaborasi riset lanjutan yang mengisi celah pengetahuan yang teridentifikasi, memperkuat peluang dampak nyata riset Anda melampaui satu laporan evaluasi tunggal.</w:t>
      </w:r>
    </w:p>
    <w:p>
      <w:pPr>
        <w:spacing w:after="120" w:before="300"/>
      </w:pPr>
      <w:r>
        <w:rPr>
          <w:rFonts w:ascii="Calibri" w:cs="Calibri" w:eastAsia="Calibri" w:hAnsi="Calibri"/>
          <w:b/>
          <w:bCs/>
          <w:i/>
          <w:iCs/>
          <w:color w:val="1F4E79"/>
          <w:sz w:val="24"/>
          <w:szCs w:val="24"/>
        </w:rPr>
        <w:t xml:space="preserve">Studi Kasus</w:t>
      </w:r>
    </w:p>
    <w:p>
      <w:pPr>
        <w:spacing w:after="200" w:line="300"/>
        <w:jc w:val="both"/>
      </w:pPr>
      <w:r>
        <w:rPr>
          <w:rFonts w:ascii="Calibri" w:cs="Calibri" w:eastAsia="Calibri" w:hAnsi="Calibri"/>
          <w:i w:val="false"/>
          <w:iCs w:val="false"/>
          <w:sz w:val="24"/>
          <w:szCs w:val="24"/>
        </w:rPr>
        <w:t xml:space="preserve">Seorang peneliti kebijakan hipotetis menyusun laporan evaluasi dampak revisi kurikulum manasik kesehatan dengan struktur ringkasan eksekutif di halaman pertama, dilengkapi satu grafik batang sederhana yang membandingkan skor pengetahuan pra-pasca antar embarkasi. Setelah presentasi lisan kepada tim Kemenhaj yang mendapat respons positif, ia menindaklanjuti dengan menawarkan diri berpartisipasi dalam tim tinjauan tahunan kurikulum manasik kesehatan berikutnya, memastikan kontribusinya berkelanjutan melampaui satu laporan evaluasi. [DATA: rujuk laporan evaluasi resmi Kemenhaj/Kemenkes terbaru untuk detail laporan evaluasi aktual].</w:t>
      </w:r>
    </w:p>
    <w:p>
      <w:pPr>
        <w:spacing w:after="120" w:before="300"/>
      </w:pPr>
      <w:r>
        <w:rPr>
          <w:rFonts w:ascii="Calibri" w:cs="Calibri" w:eastAsia="Calibri" w:hAnsi="Calibri"/>
          <w:b/>
          <w:bCs/>
          <w:i/>
          <w:iCs/>
          <w:color w:val="1F4E79"/>
          <w:sz w:val="24"/>
          <w:szCs w:val="24"/>
        </w:rPr>
        <w:t xml:space="preserve">Latihan Analisis</w:t>
      </w:r>
    </w:p>
    <w:p>
      <w:pPr>
        <w:spacing w:after="200" w:line="300"/>
        <w:jc w:val="both"/>
      </w:pPr>
      <w:r>
        <w:rPr>
          <w:rFonts w:ascii="Calibri" w:cs="Calibri" w:eastAsia="Calibri" w:hAnsi="Calibri"/>
          <w:i w:val="false"/>
          <w:iCs w:val="false"/>
          <w:sz w:val="24"/>
          <w:szCs w:val="24"/>
        </w:rPr>
        <w:t xml:space="preserve">1. Susun kerangka ringkasan eksekutif (dalam bentuk poin-poin, maksimal setengah halaman) untuk temuan evaluasi hipotetis yang Anda rumuskan pada Latihan Analisis Bab 5.</w:t>
      </w:r>
    </w:p>
    <w:p>
      <w:pPr>
        <w:spacing w:after="200" w:line="300"/>
        <w:jc w:val="both"/>
      </w:pPr>
      <w:r>
        <w:rPr>
          <w:rFonts w:ascii="Calibri" w:cs="Calibri" w:eastAsia="Calibri" w:hAnsi="Calibri"/>
          <w:i w:val="false"/>
          <w:iCs w:val="false"/>
          <w:sz w:val="24"/>
          <w:szCs w:val="24"/>
        </w:rPr>
        <w:t xml:space="preserve">2. Jelaskan mengapa struktur laporan evaluasi kebijakan umumnya berbeda dari struktur artikel ilmiah konvensional, dan diskusikan implikasinya bagi cara Anda menulis tesis pada Buku C1 Bab 8.</w:t>
      </w:r>
    </w:p>
    <w:p>
      <w:pPr>
        <w:spacing w:after="200" w:line="300"/>
        <w:jc w:val="both"/>
      </w:pPr>
      <w:r>
        <w:rPr>
          <w:rFonts w:ascii="Calibri" w:cs="Calibri" w:eastAsia="Calibri" w:hAnsi="Calibri"/>
          <w:i w:val="false"/>
          <w:iCs w:val="false"/>
          <w:sz w:val="24"/>
          <w:szCs w:val="24"/>
        </w:rPr>
        <w:t xml:space="preserve">3. Identifikasi satu cara konkret untuk menindaklanjuti hubungan dengan pemangku kebijakan setelah presentasi hasil evaluasi, guna memastikan dampak riset Anda berkelanjutan.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 — Evaluasi Program dan Kebijakan Kesehatan Haji Berbasis Bukti</dc:title>
  <dc:creator>Dr. dr. H. Budi Siswanto, Sp.OG., Subsp.Obginsos., SH., S.Kom.</dc:creator>
  <cp:lastModifiedBy>Un-named</cp:lastModifiedBy>
  <cp:revision>1</cp:revision>
  <dcterms:created xsi:type="dcterms:W3CDTF">2026-07-07T23:49:48.502Z</dcterms:created>
  <dcterms:modified xsi:type="dcterms:W3CDTF">2026-07-07T23:49:48.502Z</dcterms:modified>
</cp:coreProperties>
</file>

<file path=docProps/custom.xml><?xml version="1.0" encoding="utf-8"?>
<Properties xmlns="http://schemas.openxmlformats.org/officeDocument/2006/custom-properties" xmlns:vt="http://schemas.openxmlformats.org/officeDocument/2006/docPropsVTypes"/>
</file>