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71" w:name="Xe3d2622f573ea3545c644e7b674fe14a3c611de"/>
    <w:p>
      <w:pPr>
        <w:pStyle w:val="Heading1"/>
      </w:pPr>
      <w:r>
        <w:t xml:space="preserve">A6 — Manajemen Bencana dan Mass Casualty Incident pada Konteks Haji</w:t>
      </w:r>
    </w:p>
    <w:p>
      <w:pPr>
        <w:pStyle w:val="FirstParagraph"/>
      </w:pPr>
      <w:r>
        <w:rPr>
          <w:bCs/>
          <w:b/>
        </w:rPr>
        <w:t xml:space="preserve">Jalur:</w:t>
      </w:r>
      <w:r>
        <w:t xml:space="preserve"> </w:t>
      </w:r>
      <w:r>
        <w:t xml:space="preserve">Magister Kedokteran Haji (Reguler) — Buku Tematik |</w:t>
      </w:r>
      <w:r>
        <w:t xml:space="preserve"> </w:t>
      </w:r>
      <w:r>
        <w:rPr>
          <w:bCs/>
          <w:b/>
        </w:rPr>
        <w:t xml:space="preserve">Jenjang/Durasi:</w:t>
      </w:r>
      <w:r>
        <w:t xml:space="preserve"> </w:t>
      </w:r>
      <w:r>
        <w:t xml:space="preserve">2 tahun / 8 semester</w:t>
      </w:r>
    </w:p>
    <w:bookmarkStart w:id="20" w:name="deskripsi-singkat"/>
    <w:p>
      <w:pPr>
        <w:pStyle w:val="Heading2"/>
      </w:pPr>
      <w:r>
        <w:t xml:space="preserve">Deskripsi Singkat</w:t>
      </w:r>
    </w:p>
    <w:p>
      <w:pPr>
        <w:pStyle w:val="FirstParagraph"/>
      </w:pPr>
      <w:r>
        <w:t xml:space="preserve">Buku ini memperdalam bab kedaruratan massal pada buku utama A1 (Bab 7), relevan bagi mahasiswa yang tesisnya berada di bidang manajemen bencana dan sistem respons darurat haji. Fokus pembahasan adalah manajemen bencana pada skala populasi — sistem komando, triase lapangan skala besar, evaluasi pasca-insiden, dan kesiapsiagaan sistem rujukan — melengkapi pembahasan mekanisme fisiologis individual yang telah dibahas pada buku tematik A3.</w:t>
      </w:r>
    </w:p>
    <w:bookmarkEnd w:id="20"/>
    <w:bookmarkStart w:id="21" w:name="daftar-isi"/>
    <w:p>
      <w:pPr>
        <w:pStyle w:val="Heading2"/>
      </w:pPr>
      <w:r>
        <w:t xml:space="preserve">Daftar Isi</w:t>
      </w:r>
    </w:p>
    <w:p>
      <w:pPr>
        <w:numPr>
          <w:ilvl w:val="0"/>
          <w:numId w:val="1001"/>
        </w:numPr>
        <w:pStyle w:val="Compact"/>
      </w:pPr>
      <w:r>
        <w:t xml:space="preserve">Bab 1. Karakteristik Bencana Massal pada Kerumunan Padat (Crowd Disaster)</w:t>
      </w:r>
    </w:p>
    <w:p>
      <w:pPr>
        <w:numPr>
          <w:ilvl w:val="0"/>
          <w:numId w:val="1001"/>
        </w:numPr>
        <w:pStyle w:val="Compact"/>
      </w:pPr>
      <w:r>
        <w:t xml:space="preserve">Bab 2. Sistem Komando dan Koordinasi Tanggap Darurat Multi-Negara</w:t>
      </w:r>
    </w:p>
    <w:p>
      <w:pPr>
        <w:numPr>
          <w:ilvl w:val="0"/>
          <w:numId w:val="1001"/>
        </w:numPr>
        <w:pStyle w:val="Compact"/>
      </w:pPr>
      <w:r>
        <w:t xml:space="preserve">Bab 3. Triase Lapangan pada Skala Ribuan Korban</w:t>
      </w:r>
    </w:p>
    <w:p>
      <w:pPr>
        <w:numPr>
          <w:ilvl w:val="0"/>
          <w:numId w:val="1001"/>
        </w:numPr>
        <w:pStyle w:val="Compact"/>
      </w:pPr>
      <w:r>
        <w:t xml:space="preserve">Bab 4. Studi Kasus Historis: Insiden Massal dalam Penyelenggaraan Haji</w:t>
      </w:r>
    </w:p>
    <w:p>
      <w:pPr>
        <w:numPr>
          <w:ilvl w:val="0"/>
          <w:numId w:val="1001"/>
        </w:numPr>
        <w:pStyle w:val="Compact"/>
      </w:pPr>
      <w:r>
        <w:t xml:space="preserve">Bab 5. Perencanaan Kontinjensi dan Simulasi Bencana Pra-Musim Haji</w:t>
      </w:r>
    </w:p>
    <w:p>
      <w:pPr>
        <w:numPr>
          <w:ilvl w:val="0"/>
          <w:numId w:val="1001"/>
        </w:numPr>
        <w:pStyle w:val="Compact"/>
      </w:pPr>
      <w:r>
        <w:t xml:space="preserve">Bab 6. Evaluasi Pasca-Insiden dan Pembelajaran Kebijakan</w:t>
      </w:r>
    </w:p>
    <w:p>
      <w:pPr>
        <w:numPr>
          <w:ilvl w:val="0"/>
          <w:numId w:val="1001"/>
        </w:numPr>
        <w:pStyle w:val="Compact"/>
      </w:pPr>
      <w:r>
        <w:t xml:space="preserve">Bab 7. Kesiapsiagaan Rumah Sakit Rujukan dan Sistem Rujukan Lintas-Negara</w:t>
      </w:r>
    </w:p>
    <w:bookmarkEnd w:id="21"/>
    <w:bookmarkStart w:id="28" w:name="X0705ae1d04c7dc4d85cffa5422fe900546916b7"/>
    <w:p>
      <w:pPr>
        <w:pStyle w:val="Heading2"/>
      </w:pPr>
      <w:r>
        <w:t xml:space="preserve">Bab 1. Karakteristik Bencana Massal pada Kerumunan Padat (Crowd Disaster)</w:t>
      </w:r>
    </w:p>
    <w:bookmarkStart w:id="22" w:name="definisi-dan-tipologi-crowd-disaster"/>
    <w:p>
      <w:pPr>
        <w:pStyle w:val="Heading3"/>
      </w:pPr>
      <w:r>
        <w:t xml:space="preserve">1.1 Definisi dan Tipologi Crowd Disaster</w:t>
      </w:r>
    </w:p>
    <w:p>
      <w:pPr>
        <w:pStyle w:val="FirstParagraph"/>
      </w:pPr>
      <w:r>
        <w:rPr>
          <w:bCs/>
          <w:b/>
        </w:rPr>
        <w:t xml:space="preserve">Mengapa Ini Penting.</w:t>
      </w:r>
      <w:r>
        <w:t xml:space="preserve"> </w:t>
      </w:r>
      <w:r>
        <w:t xml:space="preserve">Kesalahan paling umum petugas lapangan yang tidak terlatih khusus adalah memperlakukan semua crowd disaster sebagai kejadian yang sama. Memahami tipologi sejak sub-bab pertama ini akan membentuk cara berpikir yang lebih presisi sepanjang buku ini.</w:t>
      </w:r>
    </w:p>
    <w:p>
      <w:pPr>
        <w:pStyle w:val="BodyText"/>
      </w:pPr>
      <w:r>
        <w:t xml:space="preserve">Crowd disaster merujuk pada peristiwa bencana yang timbul akibat dinamika kerumunan padat, mencakup beberapa tipologi: crowd crush (tekanan mekanis akibat kepadatan ekstrem yang menyebabkan kompresi tubuh korban), stampede (pergerakan panik massal yang tidak terkoordinasi), dan trampling (korban terinjak akibat jatuh dalam kerumunan yang bergerak). Ketiga tipologi ini memiliki mekanisme kejadian dan pola cedera yang berbeda, menuntut pemahaman yang presisi bagi perencana respons kedaruratan.</w:t>
      </w:r>
    </w:p>
    <w:p>
      <w:pPr>
        <w:pStyle w:val="BodyText"/>
      </w:pPr>
      <w:r>
        <w:rPr>
          <w:iCs/>
          <w:i/>
        </w:rPr>
        <w:t xml:space="preserve">Ilustrasi.</w:t>
      </w:r>
      <w:r>
        <w:t xml:space="preserve"> </w:t>
      </w:r>
      <w:r>
        <w:t xml:space="preserve">Pada crowd crush, korban dapat terjebak berdiri dalam posisi terkompresi tanpa sempat jatuh sama sekali — berbeda dengan trampling di mana korban justru jatuh terlebih dahulu baru kemudian terinjak kerumunan yang masih bergerak di atasnya. Perbedaan mekanisme ini menentukan strategi evakuasi yang harus diterapkan tim responden di masing-masing skenario.</w:t>
      </w:r>
    </w:p>
    <w:bookmarkEnd w:id="22"/>
    <w:bookmarkStart w:id="23" w:name="faktor-pemicu-dan-kondisi-pendukung"/>
    <w:p>
      <w:pPr>
        <w:pStyle w:val="Heading3"/>
      </w:pPr>
      <w:r>
        <w:t xml:space="preserve">1.2 Faktor Pemicu dan Kondisi Pendukung</w:t>
      </w:r>
    </w:p>
    <w:p>
      <w:pPr>
        <w:pStyle w:val="FirstParagraph"/>
      </w:pPr>
      <w:r>
        <w:t xml:space="preserve">Crowd disaster umumnya dipicu oleh kombinasi faktor: kepadatan yang melampaui ambang aman pada ruang fisik terbatas, adanya titik penyempitan (bottleneck) yang menghambat arus pergerakan, gangguan komunikasi atau informasi yang memicu kepanikan, serta keterbatasan jalur evakuasi alternatif. Memahami kombinasi faktor pemicu ini menjadi dasar bagi perencanaan mitigasi yang membahas desain infrastruktur dan manajemen arus jemaah.</w:t>
      </w:r>
    </w:p>
    <w:p>
      <w:pPr>
        <w:pStyle w:val="BodyText"/>
      </w:pPr>
      <w:r>
        <w:rPr>
          <w:iCs/>
          <w:i/>
        </w:rPr>
        <w:t xml:space="preserve">Ilustrasi.</w:t>
      </w:r>
      <w:r>
        <w:t xml:space="preserve"> </w:t>
      </w:r>
      <w:r>
        <w:t xml:space="preserve">Sebuah lorong sempit menuju jamarat menjadi titik bottleneck alami ketika dua arus jemaah dari arah berlawanan bertemu bersamaan dengan informasi keliru yang menyebar bahwa</w:t>
      </w:r>
      <w:r>
        <w:t xml:space="preserve"> </w:t>
      </w:r>
      <w:r>
        <w:t xml:space="preserve">“</w:t>
      </w:r>
      <w:r>
        <w:t xml:space="preserve">jalur di depan tertutup</w:t>
      </w:r>
      <w:r>
        <w:t xml:space="preserve">”</w:t>
      </w:r>
      <w:r>
        <w:t xml:space="preserve"> </w:t>
      </w:r>
      <w:r>
        <w:t xml:space="preserve">— kombinasi bottleneck fisik dan gangguan informasi inilah yang secara klasik menjadi resep bagi terjadinya crowd disaster.</w:t>
      </w:r>
    </w:p>
    <w:bookmarkEnd w:id="23"/>
    <w:bookmarkStart w:id="24" w:name="pola-cedera-khas-crowd-disaster"/>
    <w:p>
      <w:pPr>
        <w:pStyle w:val="Heading3"/>
      </w:pPr>
      <w:r>
        <w:t xml:space="preserve">1.3 Pola Cedera Khas Crowd Disaster</w:t>
      </w:r>
    </w:p>
    <w:p>
      <w:pPr>
        <w:pStyle w:val="FirstParagraph"/>
      </w:pPr>
      <w:r>
        <w:t xml:space="preserve">Pola cedera pada crowd disaster memiliki karakteristik khas yang berbeda dari bencana konvensional: dominasi asfiksia traumatik akibat kompresi toraks berkepanjangan (yang mekanismenya telah dibahas dari sisi fisiologi individual pada Bab 3 buku tematik A3), cedera crush pada ekstremitas bawah akibat terinjak, serta risiko crush syndrome yang dapat berkembang pasca-evakuasi apabila kompresi berlangsung cukup lama sebelum korban dapat dibebaskan.</w:t>
      </w:r>
    </w:p>
    <w:bookmarkEnd w:id="24"/>
    <w:bookmarkStart w:id="25" w:name="Xbad2ef8f1cff268bc9bea12a9b5db50f7d78b01"/>
    <w:p>
      <w:pPr>
        <w:pStyle w:val="Heading3"/>
      </w:pPr>
      <w:r>
        <w:t xml:space="preserve">1.4 Implikasi bagi Perencanaan Kapasitas Respons</w:t>
      </w:r>
    </w:p>
    <w:p>
      <w:pPr>
        <w:pStyle w:val="FirstParagraph"/>
      </w:pPr>
      <w:r>
        <w:t xml:space="preserve">Karakteristik khas ini menuntut perencanaan kapasitas respons yang berbeda dari bencana konvensional: kebutuhan tenaga medis yang mampu mengenali dan menangani asfiksia traumatik serta crush syndrome secara cepat, serta kebutuhan peralatan evakuasi yang sesuai untuk membebaskan korban dari kondisi terjepit kerumunan padat tanpa memperparah cedera yang sudah ada.</w:t>
      </w:r>
    </w:p>
    <w:bookmarkEnd w:id="25"/>
    <w:bookmarkStart w:id="26" w:name="ringkasan-poin-kunci"/>
    <w:p>
      <w:pPr>
        <w:pStyle w:val="Heading3"/>
      </w:pPr>
      <w:r>
        <w:t xml:space="preserve">Ringkasan Poin Kunci</w:t>
      </w:r>
    </w:p>
    <w:p>
      <w:pPr>
        <w:numPr>
          <w:ilvl w:val="0"/>
          <w:numId w:val="1002"/>
        </w:numPr>
        <w:pStyle w:val="Compact"/>
      </w:pPr>
      <w:r>
        <w:t xml:space="preserve">Crowd disaster mencakup tipologi crowd crush, stampede, dan trampling dengan mekanisme kejadian dan pola cedera berbeda.</w:t>
      </w:r>
    </w:p>
    <w:p>
      <w:pPr>
        <w:numPr>
          <w:ilvl w:val="0"/>
          <w:numId w:val="1002"/>
        </w:numPr>
        <w:pStyle w:val="Compact"/>
      </w:pPr>
      <w:r>
        <w:t xml:space="preserve">Faktor pemicu umumnya kombinasi kepadatan ekstrem, bottleneck fisik, gangguan komunikasi, dan keterbatasan jalur evakuasi.</w:t>
      </w:r>
    </w:p>
    <w:p>
      <w:pPr>
        <w:numPr>
          <w:ilvl w:val="0"/>
          <w:numId w:val="1002"/>
        </w:numPr>
        <w:pStyle w:val="Compact"/>
      </w:pPr>
      <w:r>
        <w:t xml:space="preserve">Pola cedera khas didominasi asfiksia traumatik, cedera crush ekstremitas, dan risiko crush syndrome pasca-evakuasi.</w:t>
      </w:r>
    </w:p>
    <w:p>
      <w:pPr>
        <w:numPr>
          <w:ilvl w:val="0"/>
          <w:numId w:val="1002"/>
        </w:numPr>
        <w:pStyle w:val="Compact"/>
      </w:pPr>
      <w:r>
        <w:t xml:space="preserve">Karakteristik khas ini menuntut perencanaan kapasitas respons yang berbeda dari bencana konvensional.</w:t>
      </w:r>
    </w:p>
    <w:bookmarkEnd w:id="26"/>
    <w:bookmarkStart w:id="27" w:name="pertanyaan-diskusilatihan"/>
    <w:p>
      <w:pPr>
        <w:pStyle w:val="Heading3"/>
      </w:pPr>
      <w:r>
        <w:t xml:space="preserve">Pertanyaan Diskusi/Latihan</w:t>
      </w:r>
    </w:p>
    <w:p>
      <w:pPr>
        <w:numPr>
          <w:ilvl w:val="0"/>
          <w:numId w:val="1003"/>
        </w:numPr>
        <w:pStyle w:val="Compact"/>
      </w:pPr>
      <w:r>
        <w:t xml:space="preserve">Bedakan mekanisme kejadian antara crowd crush, stampede, dan trampling, serta implikasinya bagi strategi respons yang berbeda.</w:t>
      </w:r>
    </w:p>
    <w:p>
      <w:pPr>
        <w:numPr>
          <w:ilvl w:val="0"/>
          <w:numId w:val="1003"/>
        </w:numPr>
        <w:pStyle w:val="Compact"/>
      </w:pPr>
      <w:r>
        <w:t xml:space="preserve">Jelaskan mengapa crush syndrome dapat berkembang pasca-evakuasi meski korban telah dibebaskan dari kompresi.</w:t>
      </w:r>
    </w:p>
    <w:p>
      <w:pPr>
        <w:numPr>
          <w:ilvl w:val="0"/>
          <w:numId w:val="1003"/>
        </w:numPr>
        <w:pStyle w:val="Compact"/>
      </w:pPr>
      <w:r>
        <w:t xml:space="preserve">Rancang daftar kebutuhan peralatan evakuasi khusus yang sesuai untuk membebaskan korban crowd crush tanpa memperparah cedera.</w:t>
      </w:r>
    </w:p>
    <w:bookmarkEnd w:id="27"/>
    <w:bookmarkEnd w:id="28"/>
    <w:bookmarkStart w:id="35" w:name="Xb4e6a8dd63d7827f89f3d22ec2546b1cb5def09"/>
    <w:p>
      <w:pPr>
        <w:pStyle w:val="Heading2"/>
      </w:pPr>
      <w:r>
        <w:t xml:space="preserve">Bab 2. Sistem Komando dan Koordinasi Tanggap Darurat Multi-Negara</w:t>
      </w:r>
    </w:p>
    <w:bookmarkStart w:id="29" w:name="Xb25c4f2720996d2e6631b3c3c355eee68a0f50d"/>
    <w:p>
      <w:pPr>
        <w:pStyle w:val="Heading3"/>
      </w:pPr>
      <w:r>
        <w:t xml:space="preserve">2.1 Prinsip Incident Command System pada Konteks Haji</w:t>
      </w:r>
    </w:p>
    <w:p>
      <w:pPr>
        <w:pStyle w:val="FirstParagraph"/>
      </w:pPr>
      <w:r>
        <w:rPr>
          <w:bCs/>
          <w:b/>
        </w:rPr>
        <w:t xml:space="preserve">Mengapa Ini Penting.</w:t>
      </w:r>
      <w:r>
        <w:t xml:space="preserve"> </w:t>
      </w:r>
      <w:r>
        <w:t xml:space="preserve">ICS adalah</w:t>
      </w:r>
      <w:r>
        <w:t xml:space="preserve"> </w:t>
      </w:r>
      <w:r>
        <w:t xml:space="preserve">“</w:t>
      </w:r>
      <w:r>
        <w:t xml:space="preserve">bahasa operasional</w:t>
      </w:r>
      <w:r>
        <w:t xml:space="preserve">”</w:t>
      </w:r>
      <w:r>
        <w:t xml:space="preserve"> </w:t>
      </w:r>
      <w:r>
        <w:t xml:space="preserve">standar dunia untuk manajemen bencana — mahasiswa yang menguasainya tidak hanya siap untuk konteks haji, tetapi juga membawa kompetensi yang relevan untuk manajemen bencana di konteks lain sepanjang kariernya.</w:t>
      </w:r>
    </w:p>
    <w:p>
      <w:pPr>
        <w:pStyle w:val="BodyText"/>
      </w:pPr>
      <w:r>
        <w:t xml:space="preserve">Incident Command System (ICS) adalah kerangka standar manajemen kedaruratan yang menetapkan struktur komando yang jelas, pembagian peran fungsional (operasi, logistik, perencanaan, administrasi-keuangan), dan garis komunikasi yang terkoordinasi. Penerapan ICS pada konteks haji perlu dimodifikasi untuk mengakomodasi realitas multi-negara — korban dan tenaga kesehatan responden dapat berasal dari berbagai negara pengirim yang berbeda, menuntut struktur komando yang mampu mengintegrasikan otoritas Arab Saudi sebagai komando utama dengan tim-tim kesehatan negara pengirim seperti TKHI Indonesia.</w:t>
      </w:r>
    </w:p>
    <w:p>
      <w:pPr>
        <w:pStyle w:val="BodyText"/>
      </w:pPr>
      <w:r>
        <w:rPr>
          <w:iCs/>
          <w:i/>
        </w:rPr>
        <w:t xml:space="preserve">Ilustrasi.</w:t>
      </w:r>
      <w:r>
        <w:t xml:space="preserve"> </w:t>
      </w:r>
      <w:r>
        <w:t xml:space="preserve">Dalam ICS standar, satu orang Incident Commander memegang otoritas keputusan tunggal. Pada konteks haji, posisi ini dipegang otoritas Arab Saudi, sementara TKHI Indonesia beroperasi sebagai salah satu unit fungsional dalam struktur tersebut — bukan sebagai komando independen yang bertindak sendiri, meski tetap memiliki tanggung jawab penuh terhadap jemaah kloter binaannya dalam batas kewenangan yang diberikan.</w:t>
      </w:r>
    </w:p>
    <w:bookmarkEnd w:id="29"/>
    <w:bookmarkStart w:id="30" w:name="X8b7923e831c7dd171d0f5c7d749b60918950aa2"/>
    <w:p>
      <w:pPr>
        <w:pStyle w:val="Heading3"/>
      </w:pPr>
      <w:r>
        <w:t xml:space="preserve">2.2 Interoperabilitas Komunikasi Lintas Bahasa dan Sistem</w:t>
      </w:r>
    </w:p>
    <w:p>
      <w:pPr>
        <w:pStyle w:val="FirstParagraph"/>
      </w:pPr>
      <w:r>
        <w:t xml:space="preserve">Koordinasi tanggap darurat multi-negara menghadapi tantangan komunikasi lintas bahasa antar-tenaga kesehatan dari berbagai negara pengirim, serta tantangan interoperabilitas sistem komunikasi radio/digital yang mungkin berbeda antar-negara. Protokol komunikasi standar (misalnya penggunaan kode dan istilah standar internasional untuk triase dan status korban) dapat membantu mengurangi hambatan komunikasi lintas bahasa dalam situasi kedaruratan yang menuntut kecepatan respons.</w:t>
      </w:r>
    </w:p>
    <w:bookmarkEnd w:id="30"/>
    <w:bookmarkStart w:id="31" w:name="Xfbbdc8d6d44c5abf33952f29746db59a88a6e57"/>
    <w:p>
      <w:pPr>
        <w:pStyle w:val="Heading3"/>
      </w:pPr>
      <w:r>
        <w:t xml:space="preserve">2.3 Peran dan Batasan Kewenangan TKHI dalam Struktur Komando Insiden</w:t>
      </w:r>
    </w:p>
    <w:p>
      <w:pPr>
        <w:pStyle w:val="FirstParagraph"/>
      </w:pPr>
      <w:r>
        <w:t xml:space="preserve">TKHI Indonesia, meski memiliki tanggung jawab utama terhadap jemaah kloter binaannya, beroperasi dalam batasan kewenangan yang harus tunduk pada struktur komando insiden yang dipimpin otoritas Arab Saudi pada peristiwa MCI berskala besar yang melibatkan banyak negara. Pemahaman batasan kewenangan ini penting agar TKHI dapat berkontribusi secara efektif tanpa menciptakan kebingungan komando di lapangan.</w:t>
      </w:r>
    </w:p>
    <w:p>
      <w:pPr>
        <w:pStyle w:val="BodyText"/>
      </w:pPr>
      <w:r>
        <w:rPr>
          <w:iCs/>
          <w:i/>
        </w:rPr>
        <w:t xml:space="preserve">Ilustrasi.</w:t>
      </w:r>
      <w:r>
        <w:t xml:space="preserve"> </w:t>
      </w:r>
      <w:r>
        <w:t xml:space="preserve">Seorang TKHI yang menemukan jemaah kloternya menjadi korban MCI berskala besar mungkin tergoda untuk langsung mengambil alih koordinasi evakuasi secara independen. Pemahaman batasan kewenangan mengingatkannya untuk tetap melapor dan berkoordinasi melalui struktur komando yang berlaku, sambil tetap memberikan pertolongan pertama sesuai kompetensinya — keseimbangan antara inisiatif dan disiplin struktur komando yang harus dilatih sejak masa pendidikan.</w:t>
      </w:r>
    </w:p>
    <w:bookmarkEnd w:id="31"/>
    <w:bookmarkStart w:id="32" w:name="X1b96f02e64cffae62b1ad22ed9d28e9992c02c9"/>
    <w:p>
      <w:pPr>
        <w:pStyle w:val="Heading3"/>
      </w:pPr>
      <w:r>
        <w:t xml:space="preserve">2.4 Evaluasi Efektivitas Koordinasi Multi-Negara</w:t>
      </w:r>
    </w:p>
    <w:p>
      <w:pPr>
        <w:pStyle w:val="FirstParagraph"/>
      </w:pPr>
      <w:r>
        <w:t xml:space="preserve">Evaluasi efektivitas sistem komando dan koordinasi multi-negara pada insiden yang telah terjadi menjadi sumber pembelajaran penting, mencakup evaluasi kecepatan aktivasi struktur komando, efektivitas komunikasi lintas bahasa, dan kejelasan garis kewenangan yang dijalankan selama respons berlangsung — evaluasi yang dibahas lebih rinci pada Bab 6.</w:t>
      </w:r>
    </w:p>
    <w:bookmarkEnd w:id="32"/>
    <w:bookmarkStart w:id="33" w:name="ringkasan-poin-kunci-1"/>
    <w:p>
      <w:pPr>
        <w:pStyle w:val="Heading3"/>
      </w:pPr>
      <w:r>
        <w:t xml:space="preserve">Ringkasan Poin Kunci</w:t>
      </w:r>
    </w:p>
    <w:p>
      <w:pPr>
        <w:numPr>
          <w:ilvl w:val="0"/>
          <w:numId w:val="1004"/>
        </w:numPr>
        <w:pStyle w:val="Compact"/>
      </w:pPr>
      <w:r>
        <w:t xml:space="preserve">Incident Command System perlu dimodifikasi untuk mengakomodasi realitas multi-negara pada konteks kedaruratan massal haji.</w:t>
      </w:r>
    </w:p>
    <w:p>
      <w:pPr>
        <w:numPr>
          <w:ilvl w:val="0"/>
          <w:numId w:val="1004"/>
        </w:numPr>
        <w:pStyle w:val="Compact"/>
      </w:pPr>
      <w:r>
        <w:t xml:space="preserve">Interoperabilitas komunikasi lintas bahasa dan sistem menjadi tantangan signifikan yang dapat dimitigasi melalui protokol komunikasi standar.</w:t>
      </w:r>
    </w:p>
    <w:p>
      <w:pPr>
        <w:numPr>
          <w:ilvl w:val="0"/>
          <w:numId w:val="1004"/>
        </w:numPr>
        <w:pStyle w:val="Compact"/>
      </w:pPr>
      <w:r>
        <w:t xml:space="preserve">TKHI beroperasi dalam batasan kewenangan yang tunduk pada struktur komando insiden yang dipimpin otoritas Arab Saudi pada MCI berskala besar.</w:t>
      </w:r>
    </w:p>
    <w:p>
      <w:pPr>
        <w:numPr>
          <w:ilvl w:val="0"/>
          <w:numId w:val="1004"/>
        </w:numPr>
        <w:pStyle w:val="Compact"/>
      </w:pPr>
      <w:r>
        <w:t xml:space="preserve">Evaluasi efektivitas koordinasi multi-negara pada insiden yang telah terjadi menjadi sumber pembelajaran penting bagi perbaikan sistem.</w:t>
      </w:r>
    </w:p>
    <w:bookmarkEnd w:id="33"/>
    <w:bookmarkStart w:id="34" w:name="pertanyaan-diskusilatihan-1"/>
    <w:p>
      <w:pPr>
        <w:pStyle w:val="Heading3"/>
      </w:pPr>
      <w:r>
        <w:t xml:space="preserve">Pertanyaan Diskusi/Latihan</w:t>
      </w:r>
    </w:p>
    <w:p>
      <w:pPr>
        <w:numPr>
          <w:ilvl w:val="0"/>
          <w:numId w:val="1005"/>
        </w:numPr>
        <w:pStyle w:val="Compact"/>
      </w:pPr>
      <w:r>
        <w:t xml:space="preserve">Jelaskan bagaimana Incident Command System perlu dimodifikasi untuk mengakomodasi realitas multi-negara pada MCI haji.</w:t>
      </w:r>
    </w:p>
    <w:p>
      <w:pPr>
        <w:numPr>
          <w:ilvl w:val="0"/>
          <w:numId w:val="1005"/>
        </w:numPr>
        <w:pStyle w:val="Compact"/>
      </w:pPr>
      <w:r>
        <w:t xml:space="preserve">Rancang protokol komunikasi standar sederhana yang dapat mengurangi hambatan bahasa antar-tenaga kesehatan berbagai negara saat MCI.</w:t>
      </w:r>
    </w:p>
    <w:p>
      <w:pPr>
        <w:numPr>
          <w:ilvl w:val="0"/>
          <w:numId w:val="1005"/>
        </w:numPr>
        <w:pStyle w:val="Compact"/>
      </w:pPr>
      <w:r>
        <w:t xml:space="preserve">Diskusikan pentingnya kejelasan batasan kewenangan TKHI dalam struktur komando insiden yang dipimpin otoritas Arab Saudi.</w:t>
      </w:r>
    </w:p>
    <w:bookmarkEnd w:id="34"/>
    <w:bookmarkEnd w:id="35"/>
    <w:bookmarkStart w:id="42" w:name="Xb84c18b5a8fb7d442480a1c481def71ff1b0f29"/>
    <w:p>
      <w:pPr>
        <w:pStyle w:val="Heading2"/>
      </w:pPr>
      <w:r>
        <w:t xml:space="preserve">Bab 3. Triase Lapangan pada Skala Ribuan Korban</w:t>
      </w:r>
    </w:p>
    <w:bookmarkStart w:id="36" w:name="X738927b6da7dd7434f1bf8524d9da00952b5356"/>
    <w:p>
      <w:pPr>
        <w:pStyle w:val="Heading3"/>
      </w:pPr>
      <w:r>
        <w:t xml:space="preserve">3.1 Prinsip Triase Skala Besar versus Triase Konvensional</w:t>
      </w:r>
    </w:p>
    <w:p>
      <w:pPr>
        <w:pStyle w:val="FirstParagraph"/>
      </w:pPr>
      <w:r>
        <w:rPr>
          <w:bCs/>
          <w:b/>
        </w:rPr>
        <w:t xml:space="preserve">Mengapa Ini Penting.</w:t>
      </w:r>
      <w:r>
        <w:t xml:space="preserve"> </w:t>
      </w:r>
      <w:r>
        <w:t xml:space="preserve">Pergeseran cara berpikir dari</w:t>
      </w:r>
      <w:r>
        <w:t xml:space="preserve"> </w:t>
      </w:r>
      <w:r>
        <w:t xml:space="preserve">“</w:t>
      </w:r>
      <w:r>
        <w:t xml:space="preserve">menyelamatkan satu pasien di depan saya</w:t>
      </w:r>
      <w:r>
        <w:t xml:space="preserve">”</w:t>
      </w:r>
      <w:r>
        <w:t xml:space="preserve"> </w:t>
      </w:r>
      <w:r>
        <w:t xml:space="preserve">menjadi</w:t>
      </w:r>
      <w:r>
        <w:t xml:space="preserve"> </w:t>
      </w:r>
      <w:r>
        <w:t xml:space="preserve">“</w:t>
      </w:r>
      <w:r>
        <w:t xml:space="preserve">menyelamatkan jumlah korban terbanyak dari populasi ribuan</w:t>
      </w:r>
      <w:r>
        <w:t xml:space="preserve">”</w:t>
      </w:r>
      <w:r>
        <w:t xml:space="preserve"> </w:t>
      </w:r>
      <w:r>
        <w:t xml:space="preserve">adalah salah satu transisi psikologis paling berat namun paling penting yang harus dipahami dan diterima sejak masa pendidikan, bukan diputuskan mendadak saat insiden nyata terjadi.</w:t>
      </w:r>
    </w:p>
    <w:p>
      <w:pPr>
        <w:pStyle w:val="BodyText"/>
      </w:pPr>
      <w:r>
        <w:t xml:space="preserve">Triase pada skala ribuan korban menuntut penerapan sistem triase cepat yang dapat mengklasifikasikan korban dalam hitungan detik per individu (seperti prinsip START — Simple Triage and Rapid Treatment, atau modifikasinya), berbeda dari triase konvensional yang dapat melibatkan penilaian klinis lebih mendalam per pasien. Prinsip utama triase skala besar adalah mengoptimalkan penyelamatan jumlah korban terbanyak dengan sumber daya yang tersedia, bukan mengupayakan penanganan terbaik bagi setiap individu secara terpisah.</w:t>
      </w:r>
    </w:p>
    <w:bookmarkEnd w:id="36"/>
    <w:bookmarkStart w:id="37" w:name="X9891697c0f723aa9bcf3b967a26435615bb6fdb"/>
    <w:p>
      <w:pPr>
        <w:pStyle w:val="Heading3"/>
      </w:pPr>
      <w:r>
        <w:t xml:space="preserve">3.2 Kategori Triase dan Tantangan Penerapannya pada Konteks Haji</w:t>
      </w:r>
    </w:p>
    <w:p>
      <w:pPr>
        <w:pStyle w:val="FirstParagraph"/>
      </w:pPr>
      <w:r>
        <w:t xml:space="preserve">Kategori triase standar (merah/prioritas tinggi, kuning/prioritas sedang, hijau/prioritas rendah, hitam/meninggal atau tidak dapat diselamatkan) perlu diterapkan dengan mempertimbangkan tantangan khas konteks haji: kepadatan kerumunan yang membatasi ruang gerak petugas triase, keberagaman bahasa yang menghambat komunikasi cepat dengan korban sadar, serta pola cedera khas crowd disaster (asfiksia traumatik) yang mungkin tidak segera tampak jelas pada penilaian visual cepat.</w:t>
      </w:r>
    </w:p>
    <w:p>
      <w:pPr>
        <w:pStyle w:val="BodyText"/>
      </w:pPr>
      <w:r>
        <w:rPr>
          <w:iCs/>
          <w:i/>
        </w:rPr>
        <w:t xml:space="preserve">Ilustrasi.</w:t>
      </w:r>
      <w:r>
        <w:t xml:space="preserve"> </w:t>
      </w:r>
      <w:r>
        <w:t xml:space="preserve">Seorang korban crowd crush tampak sadar dan bisa berjalan sesaat setelah dibebaskan dari kompresi (berpotensi dikategorikan hijau/prioritas rendah pada triase visual cepat), namun berisiko mengalami crush syndrome yang baru bermanifestasi beberapa jam kemudian. Petugas triase yang memahami pola cedera khas crowd disaster akan tetap menandai korban semacam ini untuk observasi lanjutan, bukan sekadar mengandalkan penampilan awal yang tampak baik-baik saja.</w:t>
      </w:r>
    </w:p>
    <w:bookmarkEnd w:id="37"/>
    <w:bookmarkStart w:id="38" w:name="Xc7848ab529b104fb45ca40229be404278438eea"/>
    <w:p>
      <w:pPr>
        <w:pStyle w:val="Heading3"/>
      </w:pPr>
      <w:r>
        <w:t xml:space="preserve">3.3 Peran Teknologi dalam Mendukung Triase Skala Besar</w:t>
      </w:r>
    </w:p>
    <w:p>
      <w:pPr>
        <w:pStyle w:val="FirstParagraph"/>
      </w:pPr>
      <w:r>
        <w:t xml:space="preserve">Teknologi pendukung seperti sistem penandaan elektronik korban (electronic triage tagging) dan sistem pelacakan status korban secara digital dapat membantu mengelola informasi triase pada skala ribuan korban secara lebih efisien dibandingkan sistem penandaan kertas konvensional, meski implementasinya menuntut investasi infrastruktur dan pelatihan penggunaan yang memadai bagi seluruh tenaga responden multi-negara.</w:t>
      </w:r>
    </w:p>
    <w:bookmarkEnd w:id="38"/>
    <w:bookmarkStart w:id="39" w:name="pelatihan-dan-kesiapan-tenaga-triase"/>
    <w:p>
      <w:pPr>
        <w:pStyle w:val="Heading3"/>
      </w:pPr>
      <w:r>
        <w:t xml:space="preserve">3.4 Pelatihan dan Kesiapan Tenaga Triase</w:t>
      </w:r>
    </w:p>
    <w:p>
      <w:pPr>
        <w:pStyle w:val="FirstParagraph"/>
      </w:pPr>
      <w:r>
        <w:t xml:space="preserve">Efektivitas triase skala besar sangat bergantung pada kesiapan tenaga kesehatan yang telah terlatih khusus untuk skenario MCI, bukan hanya kompetensi klinis umum. Pelatihan simulasi triase skala besar secara berkala menjelang musim haji, sejalan dengan pembahasan simulasi pra-musim pada Bab 5, menjadi elemen penting kesiapsiagaan tenaga kesehatan haji termasuk TKHI.</w:t>
      </w:r>
    </w:p>
    <w:bookmarkEnd w:id="39"/>
    <w:bookmarkStart w:id="40" w:name="ringkasan-poin-kunci-2"/>
    <w:p>
      <w:pPr>
        <w:pStyle w:val="Heading3"/>
      </w:pPr>
      <w:r>
        <w:t xml:space="preserve">Ringkasan Poin Kunci</w:t>
      </w:r>
    </w:p>
    <w:p>
      <w:pPr>
        <w:numPr>
          <w:ilvl w:val="0"/>
          <w:numId w:val="1006"/>
        </w:numPr>
        <w:pStyle w:val="Compact"/>
      </w:pPr>
      <w:r>
        <w:t xml:space="preserve">Triase skala ribuan korban menuntut sistem klasifikasi cepat yang mengoptimalkan penyelamatan jumlah korban terbanyak dengan sumber daya terbatas.</w:t>
      </w:r>
    </w:p>
    <w:p>
      <w:pPr>
        <w:numPr>
          <w:ilvl w:val="0"/>
          <w:numId w:val="1006"/>
        </w:numPr>
        <w:pStyle w:val="Compact"/>
      </w:pPr>
      <w:r>
        <w:t xml:space="preserve">Penerapan kategori triase standar perlu mempertimbangkan tantangan khas haji: kepadatan, bahasa, dan pola cedera crowd disaster yang tidak selalu tampak jelas.</w:t>
      </w:r>
    </w:p>
    <w:p>
      <w:pPr>
        <w:numPr>
          <w:ilvl w:val="0"/>
          <w:numId w:val="1006"/>
        </w:numPr>
        <w:pStyle w:val="Compact"/>
      </w:pPr>
      <w:r>
        <w:t xml:space="preserve">Teknologi penandaan dan pelacakan elektronik dapat meningkatkan efisiensi pengelolaan informasi triase pada skala besar.</w:t>
      </w:r>
    </w:p>
    <w:p>
      <w:pPr>
        <w:numPr>
          <w:ilvl w:val="0"/>
          <w:numId w:val="1006"/>
        </w:numPr>
        <w:pStyle w:val="Compact"/>
      </w:pPr>
      <w:r>
        <w:t xml:space="preserve">Pelatihan simulasi triase skala besar secara berkala adalah elemen kesiapsiagaan penting bagi tenaga kesehatan haji.</w:t>
      </w:r>
    </w:p>
    <w:bookmarkEnd w:id="40"/>
    <w:bookmarkStart w:id="41" w:name="pertanyaan-diskusilatihan-2"/>
    <w:p>
      <w:pPr>
        <w:pStyle w:val="Heading3"/>
      </w:pPr>
      <w:r>
        <w:t xml:space="preserve">Pertanyaan Diskusi/Latihan</w:t>
      </w:r>
    </w:p>
    <w:p>
      <w:pPr>
        <w:numPr>
          <w:ilvl w:val="0"/>
          <w:numId w:val="1007"/>
        </w:numPr>
        <w:pStyle w:val="Compact"/>
      </w:pPr>
      <w:r>
        <w:t xml:space="preserve">Jelaskan mengapa prinsip triase skala besar berbeda secara filosofis dari triase konvensional yang menitikberatkan penanganan optimal per individu.</w:t>
      </w:r>
    </w:p>
    <w:p>
      <w:pPr>
        <w:numPr>
          <w:ilvl w:val="0"/>
          <w:numId w:val="1007"/>
        </w:numPr>
        <w:pStyle w:val="Compact"/>
      </w:pPr>
      <w:r>
        <w:t xml:space="preserve">Diskusikan tantangan penerapan kategori triase standar pada konteks kepadatan dan keberagaman bahasa jemaah haji.</w:t>
      </w:r>
    </w:p>
    <w:p>
      <w:pPr>
        <w:numPr>
          <w:ilvl w:val="0"/>
          <w:numId w:val="1007"/>
        </w:numPr>
        <w:pStyle w:val="Compact"/>
      </w:pPr>
      <w:r>
        <w:t xml:space="preserve">Rancang kerangka pelatihan simulasi triase skala besar bagi TKHI menjelang musim haji.</w:t>
      </w:r>
    </w:p>
    <w:bookmarkEnd w:id="41"/>
    <w:bookmarkEnd w:id="42"/>
    <w:bookmarkStart w:id="49" w:name="X9e9a19c8c0f1aa5a7961480a97bf0937907fdd2"/>
    <w:p>
      <w:pPr>
        <w:pStyle w:val="Heading2"/>
      </w:pPr>
      <w:r>
        <w:t xml:space="preserve">Bab 4. Studi Kasus Historis: Insiden Massal dalam Penyelenggaraan Haji</w:t>
      </w:r>
    </w:p>
    <w:bookmarkStart w:id="43" w:name="X6b39316d20b6758442aa2db08deeb2ccab96877"/>
    <w:p>
      <w:pPr>
        <w:pStyle w:val="Heading3"/>
      </w:pPr>
      <w:r>
        <w:t xml:space="preserve">4.1 Kerangka Pembelajaran dari Insiden Historis</w:t>
      </w:r>
    </w:p>
    <w:p>
      <w:pPr>
        <w:pStyle w:val="FirstParagraph"/>
      </w:pPr>
      <w:r>
        <w:rPr>
          <w:bCs/>
          <w:b/>
        </w:rPr>
        <w:t xml:space="preserve">Mengapa Ini Penting.</w:t>
      </w:r>
      <w:r>
        <w:t xml:space="preserve"> </w:t>
      </w:r>
      <w:r>
        <w:t xml:space="preserve">Setiap sistem keselamatan yang baik di dunia ini, dari penerbangan hingga kedokteran, dibangun di atas pembelajaran dari kegagalan masa lalu. Bab ini menuntun mahasiswa mempelajari tradisi pembelajaran serupa dalam konteks kesehatan haji, dengan kepekaan dan rasa hormat terhadap para korban di baliknya.</w:t>
      </w:r>
    </w:p>
    <w:p>
      <w:pPr>
        <w:pStyle w:val="BodyText"/>
      </w:pPr>
      <w:r>
        <w:t xml:space="preserve">Bab ini menyajikan kerangka metodologis untuk mempelajari insiden massal historis dalam penyelenggaraan haji secara sistematis, memanfaatkan sumber-sumber laporan resmi pasca-insiden dan kajian akademik yang tersedia. [VERIFIKASI SUMBER] Tujuan kajian historis ini bukan sekadar dokumentasi peristiwa, melainkan ekstraksi pembelajaran sistemik yang dapat mencegah pengulangan pola kegagalan serupa.</w:t>
      </w:r>
    </w:p>
    <w:bookmarkEnd w:id="43"/>
    <w:bookmarkStart w:id="44" w:name="kerangka-analisis-root-cause"/>
    <w:p>
      <w:pPr>
        <w:pStyle w:val="Heading3"/>
      </w:pPr>
      <w:r>
        <w:t xml:space="preserve">4.2 Kerangka Analisis Root Cause</w:t>
      </w:r>
    </w:p>
    <w:p>
      <w:pPr>
        <w:pStyle w:val="FirstParagraph"/>
      </w:pPr>
      <w:r>
        <w:t xml:space="preserve">Analisis root cause terhadap insiden historis idealnya mengidentifikasi faktor kontribusi pada berbagai level: level fisik-infrastruktur (desain ruang, kapasitas jalur), level manajemen arus (perencanaan kepadatan, penjadwalan aktivitas), level komunikasi-koordinasi (kecepatan deteksi dan respons), dan level kebijakan (regulasi kapasitas dan standar keselamatan yang berlaku saat insiden terjadi). Analisis multi-level ini mencegah kesimpulan yang terlalu menyederhanakan penyebab insiden pada satu faktor tunggal.</w:t>
      </w:r>
    </w:p>
    <w:p>
      <w:pPr>
        <w:pStyle w:val="BodyText"/>
      </w:pPr>
      <w:r>
        <w:rPr>
          <w:iCs/>
          <w:i/>
        </w:rPr>
        <w:t xml:space="preserve">Ilustrasi.</w:t>
      </w:r>
      <w:r>
        <w:t xml:space="preserve"> </w:t>
      </w:r>
      <w:r>
        <w:t xml:space="preserve">Sebuah insiden hipotetis pada awalnya tampak</w:t>
      </w:r>
      <w:r>
        <w:t xml:space="preserve"> </w:t>
      </w:r>
      <w:r>
        <w:t xml:space="preserve">“</w:t>
      </w:r>
      <w:r>
        <w:t xml:space="preserve">disebabkan oleh kepanikan jemaah</w:t>
      </w:r>
      <w:r>
        <w:t xml:space="preserve">”</w:t>
      </w:r>
      <w:r>
        <w:t xml:space="preserve"> </w:t>
      </w:r>
      <w:r>
        <w:t xml:space="preserve">(kesimpulan yang terlalu sederhana). Analisis root cause multi-level yang lebih cermat mengungkap bahwa kepanikan tersebut sebenarnya dipicu oleh kombinasi desain jalur yang menyempit tanpa jalur alternatif (level fisik-infrastruktur) dan keterlambatan informasi resmi tentang kondisi di depan (level komunikasi-koordinasi) — dua faktor sistemik yang jauh lebih applicable untuk diperbaiki dibanding sekadar menyalahkan</w:t>
      </w:r>
      <w:r>
        <w:t xml:space="preserve"> </w:t>
      </w:r>
      <w:r>
        <w:t xml:space="preserve">“</w:t>
      </w:r>
      <w:r>
        <w:t xml:space="preserve">kepanikan jemaah</w:t>
      </w:r>
      <w:r>
        <w:t xml:space="preserve">”</w:t>
      </w:r>
      <w:r>
        <w:t xml:space="preserve">.</w:t>
      </w:r>
    </w:p>
    <w:bookmarkEnd w:id="44"/>
    <w:bookmarkStart w:id="45" w:name="perubahan-kebijakan-pasca-insiden"/>
    <w:p>
      <w:pPr>
        <w:pStyle w:val="Heading3"/>
      </w:pPr>
      <w:r>
        <w:t xml:space="preserve">4.3 Perubahan Kebijakan Pasca-Insiden</w:t>
      </w:r>
    </w:p>
    <w:p>
      <w:pPr>
        <w:pStyle w:val="FirstParagraph"/>
      </w:pPr>
      <w:r>
        <w:t xml:space="preserve">Insiden-insiden massal historis umumnya diikuti oleh perubahan kebijakan dan investasi infrastruktur yang signifikan oleh otoritas Arab Saudi, termasuk perbaikan desain jalur pergerakan jemaah dan sistem manajemen kepadatan di titik-titik rawan. Mengkaji sejauh mana perubahan kebijakan tersebut benar-benar mengatasi root cause yang teridentifikasi merupakan arah riset evaluatif yang relevan bagi mahasiswa.</w:t>
      </w:r>
    </w:p>
    <w:bookmarkEnd w:id="45"/>
    <w:bookmarkStart w:id="46" w:name="X81de910ffd8e3fe40463e51430e8ce1ea3485d9"/>
    <w:p>
      <w:pPr>
        <w:pStyle w:val="Heading3"/>
      </w:pPr>
      <w:r>
        <w:t xml:space="preserve">4.4 Pembelajaran bagi Kesiapsiagaan Indonesia</w:t>
      </w:r>
    </w:p>
    <w:p>
      <w:pPr>
        <w:pStyle w:val="FirstParagraph"/>
      </w:pPr>
      <w:r>
        <w:t xml:space="preserve">Di luar pembelajaran yang relevan bagi otoritas Arab Saudi selaku penyelenggara, insiden historis juga memberikan pembelajaran penting bagi kesiapsiagaan Indonesia sebagai negara pengirim — termasuk kesiapan protokol komunikasi darurat dengan keluarga jemaah, kesiapan sistem identifikasi korban lintas kloter, dan kesiapan dukungan psikologis bagi jemaah dan tenaga kesehatan yang terpapar insiden traumatis semacam ini.</w:t>
      </w:r>
    </w:p>
    <w:p>
      <w:pPr>
        <w:pStyle w:val="BodyText"/>
      </w:pPr>
      <w:r>
        <w:rPr>
          <w:iCs/>
          <w:i/>
        </w:rPr>
        <w:t xml:space="preserve">Ilustrasi.</w:t>
      </w:r>
      <w:r>
        <w:t xml:space="preserve"> </w:t>
      </w:r>
      <w:r>
        <w:t xml:space="preserve">Pasca sebuah insiden massal hipotetis, keluarga di Indonesia kesulitan mendapat kepastian status anggota keluarganya selama berhari-hari akibat sistem identifikasi dan komunikasi darurat yang belum siap menangani volume pertanyaan sebesar itu. Pembelajaran ini mendorong penguatan protokol komunikasi darurat Kemenhaj sebagai salah satu prioritas kesiapsiagaan, terlepas dari perbaikan infrastruktur fisik yang menjadi domain otoritas Arab Saudi.</w:t>
      </w:r>
    </w:p>
    <w:bookmarkEnd w:id="46"/>
    <w:bookmarkStart w:id="47" w:name="ringkasan-poin-kunci-3"/>
    <w:p>
      <w:pPr>
        <w:pStyle w:val="Heading3"/>
      </w:pPr>
      <w:r>
        <w:t xml:space="preserve">Ringkasan Poin Kunci</w:t>
      </w:r>
    </w:p>
    <w:p>
      <w:pPr>
        <w:numPr>
          <w:ilvl w:val="0"/>
          <w:numId w:val="1008"/>
        </w:numPr>
        <w:pStyle w:val="Compact"/>
      </w:pPr>
      <w:r>
        <w:t xml:space="preserve">Kajian insiden historis bertujuan mengekstraksi pembelajaran sistemik untuk mencegah pengulangan pola kegagalan serupa.</w:t>
      </w:r>
    </w:p>
    <w:p>
      <w:pPr>
        <w:numPr>
          <w:ilvl w:val="0"/>
          <w:numId w:val="1008"/>
        </w:numPr>
        <w:pStyle w:val="Compact"/>
      </w:pPr>
      <w:r>
        <w:t xml:space="preserve">Analisis root cause multi-level (fisik-infrastruktur, manajemen arus, komunikasi-koordinasi, kebijakan) mencegah penyederhanaan penyebab insiden.</w:t>
      </w:r>
    </w:p>
    <w:p>
      <w:pPr>
        <w:numPr>
          <w:ilvl w:val="0"/>
          <w:numId w:val="1008"/>
        </w:numPr>
        <w:pStyle w:val="Compact"/>
      </w:pPr>
      <w:r>
        <w:t xml:space="preserve">Perubahan kebijakan pasca-insiden oleh Arab Saudi perlu dikaji sejauh mana benar-benar mengatasi root cause yang teridentifikasi.</w:t>
      </w:r>
    </w:p>
    <w:p>
      <w:pPr>
        <w:numPr>
          <w:ilvl w:val="0"/>
          <w:numId w:val="1008"/>
        </w:numPr>
        <w:pStyle w:val="Compact"/>
      </w:pPr>
      <w:r>
        <w:t xml:space="preserve">Insiden historis juga memberikan pembelajaran penting bagi kesiapsiagaan Indonesia sebagai negara pengirim jemaah.</w:t>
      </w:r>
    </w:p>
    <w:bookmarkEnd w:id="47"/>
    <w:bookmarkStart w:id="48" w:name="pertanyaan-diskusilatihan-3"/>
    <w:p>
      <w:pPr>
        <w:pStyle w:val="Heading3"/>
      </w:pPr>
      <w:r>
        <w:t xml:space="preserve">Pertanyaan Diskusi/Latihan</w:t>
      </w:r>
    </w:p>
    <w:p>
      <w:pPr>
        <w:numPr>
          <w:ilvl w:val="0"/>
          <w:numId w:val="1009"/>
        </w:numPr>
        <w:pStyle w:val="Compact"/>
      </w:pPr>
      <w:r>
        <w:t xml:space="preserve">Rancang kerangka analisis root cause multi-level untuk mengkaji sebuah insiden massal hipotetis dalam penyelenggaraan haji.</w:t>
      </w:r>
    </w:p>
    <w:p>
      <w:pPr>
        <w:numPr>
          <w:ilvl w:val="0"/>
          <w:numId w:val="1009"/>
        </w:numPr>
        <w:pStyle w:val="Compact"/>
      </w:pPr>
      <w:r>
        <w:t xml:space="preserve">Diskusikan mengapa evaluasi perubahan kebijakan pasca-insiden penting untuk memastikan root cause benar-benar teratasi, bukan sekadar respons simbolis.</w:t>
      </w:r>
    </w:p>
    <w:p>
      <w:pPr>
        <w:numPr>
          <w:ilvl w:val="0"/>
          <w:numId w:val="1009"/>
        </w:numPr>
        <w:pStyle w:val="Compact"/>
      </w:pPr>
      <w:r>
        <w:t xml:space="preserve">Identifikasi tiga aspek kesiapsiagaan Indonesia sebagai negara pengirim yang perlu diperkuat berdasarkan pembelajaran insiden massal historis.</w:t>
      </w:r>
      <w:r>
        <w:t xml:space="preserve"> </w:t>
      </w:r>
    </w:p>
    <w:bookmarkEnd w:id="48"/>
    <w:bookmarkEnd w:id="49"/>
    <w:bookmarkStart w:id="56" w:name="X8af0f23287373aa28ef2809a1a28655d9e5fe4e"/>
    <w:p>
      <w:pPr>
        <w:pStyle w:val="Heading2"/>
      </w:pPr>
      <w:r>
        <w:t xml:space="preserve">Bab 5. Perencanaan Kontinjensi dan Simulasi Bencana Pra-Musim Haji</w:t>
      </w:r>
    </w:p>
    <w:bookmarkStart w:id="50" w:name="prinsip-perencanaan-kontinjensi"/>
    <w:p>
      <w:pPr>
        <w:pStyle w:val="Heading3"/>
      </w:pPr>
      <w:r>
        <w:t xml:space="preserve">5.1 Prinsip Perencanaan Kontinjensi</w:t>
      </w:r>
    </w:p>
    <w:p>
      <w:pPr>
        <w:pStyle w:val="FirstParagraph"/>
      </w:pPr>
      <w:r>
        <w:rPr>
          <w:bCs/>
          <w:b/>
        </w:rPr>
        <w:t xml:space="preserve">Mengapa Ini Penting.</w:t>
      </w:r>
      <w:r>
        <w:t xml:space="preserve"> </w:t>
      </w:r>
      <w:r>
        <w:t xml:space="preserve">Kualitas respons pada hari terjadinya bencana sesungguhnya sudah ditentukan berbulan-bulan sebelumnya, pada tahap perencanaan yang jarang terlihat publik. Bab ini menegaskan bahwa pekerjaan paling penting dalam manajemen bencana justru terjadi jauh sebelum bencana itu sendiri.</w:t>
      </w:r>
    </w:p>
    <w:p>
      <w:pPr>
        <w:pStyle w:val="BodyText"/>
      </w:pPr>
      <w:r>
        <w:t xml:space="preserve">Perencanaan kontinjensi adalah proses sistematis mempersiapkan respons terhadap skenario bencana yang mungkin terjadi, dilakukan jauh sebelum musim haji dimulai. Perencanaan yang baik mencakup pemetaan skenario risiko berdasarkan data historis (titik-titik kerawanan crowd, pola cuaca ekstrem), penetapan peran dan tanggung jawab setiap aktor dalam skenario tersebut, serta penyiapan sumber daya (tenaga, peralatan, kapasitas rumah sakit rujukan) yang dibutuhkan.</w:t>
      </w:r>
    </w:p>
    <w:bookmarkEnd w:id="50"/>
    <w:bookmarkStart w:id="51" w:name="X7d4a6414589248a514c8c53c71c9d7b7ffce81e"/>
    <w:p>
      <w:pPr>
        <w:pStyle w:val="Heading3"/>
      </w:pPr>
      <w:r>
        <w:t xml:space="preserve">5.2 Pemetaan Skenario Risiko Berbasis Data Historis</w:t>
      </w:r>
    </w:p>
    <w:p>
      <w:pPr>
        <w:pStyle w:val="FirstParagraph"/>
      </w:pPr>
      <w:r>
        <w:t xml:space="preserve">Pemetaan skenario risiko idealnya memanfaatkan data historis kepadatan crowd, pola cuaca, dan catatan kejadian kesehatan dari musim-musim sebelumnya untuk mengidentifikasi titik dan waktu dengan risiko tertinggi, memungkinkan alokasi sumber daya kesiapsiagaan yang lebih terarah dibandingkan pendekatan yang menyebar sumber daya secara merata tanpa mempertimbangkan variasi risiko spasial-temporal.</w:t>
      </w:r>
    </w:p>
    <w:p>
      <w:pPr>
        <w:pStyle w:val="BodyText"/>
      </w:pPr>
      <w:r>
        <w:rPr>
          <w:iCs/>
          <w:i/>
        </w:rPr>
        <w:t xml:space="preserve">Ilustrasi.</w:t>
      </w:r>
      <w:r>
        <w:t xml:space="preserve"> </w:t>
      </w:r>
      <w:r>
        <w:t xml:space="preserve">Sebagai gambaran hipotetis: andaikan analisis data historis beberapa musim terakhir menunjukkan bahwa sebagian besar kejadian kesehatan darurat terkonsentrasi pada tiga titik dan rentang waktu tertentu — alih-alih menyebar tim tambahan secara merata ke seluruh area, tim perencana dapat mengalokasikan sumber daya ekstra secara terarah pada ketiga titik-waktu berisiko tinggi tersebut, pendekatan yang jauh lebih efisien dibanding penyebaran merata.</w:t>
      </w:r>
    </w:p>
    <w:bookmarkEnd w:id="51"/>
    <w:bookmarkStart w:id="52" w:name="X0548b47a27bad0e5afa38a7965be6aa162ac88b"/>
    <w:p>
      <w:pPr>
        <w:pStyle w:val="Heading3"/>
      </w:pPr>
      <w:r>
        <w:t xml:space="preserve">5.3 Simulasi dan Latihan Lapangan (Tabletop dan Full-Scale Exercise)</w:t>
      </w:r>
    </w:p>
    <w:p>
      <w:pPr>
        <w:pStyle w:val="FirstParagraph"/>
      </w:pPr>
      <w:r>
        <w:t xml:space="preserve">Simulasi bencana dapat dilakukan dalam berbagai tingkat kompleksitas: simulasi meja (tabletop exercise) yang menguji pengambilan keputusan tim komando tanpa pergerakan fisik personel, hingga simulasi skala penuh (full-scale exercise) yang melibatkan pergerakan fisik personel dan peralatan dalam skenario yang mendekati kondisi nyata. Kedua jenis simulasi ini melengkapi satu sama lain, dengan tabletop exercise yang lebih murah dan sering dilakukan, serta full-scale exercise yang lebih jarang namun memberikan pembelajaran praktis yang lebih mendalam.</w:t>
      </w:r>
    </w:p>
    <w:p>
      <w:pPr>
        <w:pStyle w:val="BodyText"/>
      </w:pPr>
      <w:r>
        <w:rPr>
          <w:iCs/>
          <w:i/>
        </w:rPr>
        <w:t xml:space="preserve">Ilustrasi.</w:t>
      </w:r>
      <w:r>
        <w:t xml:space="preserve"> </w:t>
      </w:r>
      <w:r>
        <w:t xml:space="preserve">Tim TKHI mengadakan tabletop exercise bulanan yang murah dan cepat untuk melatih pengambilan keputusan skenario MCI di atas peta, sementara sekali dalam satu siklus persiapan musim haji mereka mengadakan full-scale exercise yang benar-benar melibatkan pergerakan personel dan peralatan evakuasi — kombinasi keduanya memberikan kesiapan yang jauh lebih matang dibanding hanya mengandalkan salah satu jenis simulasi saja.</w:t>
      </w:r>
    </w:p>
    <w:bookmarkEnd w:id="52"/>
    <w:bookmarkStart w:id="53" w:name="evaluasi-kesiapan-melalui-simulasi"/>
    <w:p>
      <w:pPr>
        <w:pStyle w:val="Heading3"/>
      </w:pPr>
      <w:r>
        <w:t xml:space="preserve">5.4 Evaluasi Kesiapan Melalui Simulasi</w:t>
      </w:r>
    </w:p>
    <w:p>
      <w:pPr>
        <w:pStyle w:val="FirstParagraph"/>
      </w:pPr>
      <w:r>
        <w:t xml:space="preserve">Simulasi pra-musim haji berfungsi sebagai instrumen evaluasi kesiapan sistem sebelum diuji oleh kejadian nyata, mengidentifikasi celah dalam protokol komunikasi, kecukupan sumber daya, atau kejelasan garis komando yang mungkin belum teridentifikasi melalui perencanaan di atas kertas semata. Evaluasi hasil simulasi idealnya menjadi masukan langsung bagi revisi rencana kontinjensi sebelum musim haji sesungguhnya dimulai.</w:t>
      </w:r>
    </w:p>
    <w:bookmarkEnd w:id="53"/>
    <w:bookmarkStart w:id="54" w:name="ringkasan-poin-kunci-4"/>
    <w:p>
      <w:pPr>
        <w:pStyle w:val="Heading3"/>
      </w:pPr>
      <w:r>
        <w:t xml:space="preserve">Ringkasan Poin Kunci</w:t>
      </w:r>
    </w:p>
    <w:p>
      <w:pPr>
        <w:numPr>
          <w:ilvl w:val="0"/>
          <w:numId w:val="1010"/>
        </w:numPr>
        <w:pStyle w:val="Compact"/>
      </w:pPr>
      <w:r>
        <w:t xml:space="preserve">Perencanaan kontinjensi mencakup pemetaan skenario risiko, penetapan peran-tanggung jawab, dan penyiapan sumber daya jauh sebelum musim haji dimulai.</w:t>
      </w:r>
    </w:p>
    <w:p>
      <w:pPr>
        <w:numPr>
          <w:ilvl w:val="0"/>
          <w:numId w:val="1010"/>
        </w:numPr>
        <w:pStyle w:val="Compact"/>
      </w:pPr>
      <w:r>
        <w:t xml:space="preserve">Pemetaan skenario risiko berbasis data historis memungkinkan alokasi sumber daya kesiapsiagaan yang lebih terarah secara spasial-temporal.</w:t>
      </w:r>
    </w:p>
    <w:p>
      <w:pPr>
        <w:numPr>
          <w:ilvl w:val="0"/>
          <w:numId w:val="1010"/>
        </w:numPr>
        <w:pStyle w:val="Compact"/>
      </w:pPr>
      <w:r>
        <w:t xml:space="preserve">Simulasi tabletop dan full-scale exercise saling melengkapi dalam menguji kesiapan sistem pada tingkat kompleksitas berbeda.</w:t>
      </w:r>
    </w:p>
    <w:p>
      <w:pPr>
        <w:numPr>
          <w:ilvl w:val="0"/>
          <w:numId w:val="1010"/>
        </w:numPr>
        <w:pStyle w:val="Compact"/>
      </w:pPr>
      <w:r>
        <w:t xml:space="preserve">Hasil evaluasi simulasi idealnya menjadi masukan langsung bagi revisi rencana kontinjensi sebelum musim haji sesungguhnya.</w:t>
      </w:r>
    </w:p>
    <w:bookmarkEnd w:id="54"/>
    <w:bookmarkStart w:id="55" w:name="pertanyaan-diskusilatihan-4"/>
    <w:p>
      <w:pPr>
        <w:pStyle w:val="Heading3"/>
      </w:pPr>
      <w:r>
        <w:t xml:space="preserve">Pertanyaan Diskusi/Latihan</w:t>
      </w:r>
    </w:p>
    <w:p>
      <w:pPr>
        <w:numPr>
          <w:ilvl w:val="0"/>
          <w:numId w:val="1011"/>
        </w:numPr>
        <w:pStyle w:val="Compact"/>
      </w:pPr>
      <w:r>
        <w:t xml:space="preserve">Rancang kerangka pemetaan skenario risiko berbasis data historis untuk satu titik lokasi ibadah dengan riwayat kepadatan tinggi.</w:t>
      </w:r>
    </w:p>
    <w:p>
      <w:pPr>
        <w:numPr>
          <w:ilvl w:val="0"/>
          <w:numId w:val="1011"/>
        </w:numPr>
        <w:pStyle w:val="Compact"/>
      </w:pPr>
      <w:r>
        <w:t xml:space="preserve">Jelaskan perbedaan tabletop exercise dan full-scale exercise serta kapan masing-masing paling sesuai digunakan.</w:t>
      </w:r>
    </w:p>
    <w:p>
      <w:pPr>
        <w:numPr>
          <w:ilvl w:val="0"/>
          <w:numId w:val="1011"/>
        </w:numPr>
        <w:pStyle w:val="Compact"/>
      </w:pPr>
      <w:r>
        <w:t xml:space="preserve">Susun daftar celah kesiapan yang mungkin teridentifikasi melalui simulasi namun tidak tampak dari perencanaan di atas kertas semata.</w:t>
      </w:r>
    </w:p>
    <w:bookmarkEnd w:id="55"/>
    <w:bookmarkEnd w:id="56"/>
    <w:bookmarkStart w:id="63" w:name="X57cb79889a36ad96f79fb5de0e0ecee456b3e58"/>
    <w:p>
      <w:pPr>
        <w:pStyle w:val="Heading2"/>
      </w:pPr>
      <w:r>
        <w:t xml:space="preserve">Bab 6. Evaluasi Pasca-Insiden dan Pembelajaran Kebijakan</w:t>
      </w:r>
    </w:p>
    <w:bookmarkStart w:id="57" w:name="Xbeabd4f2968d37af71e53e3ea580ff70d64b88b"/>
    <w:p>
      <w:pPr>
        <w:pStyle w:val="Heading3"/>
      </w:pPr>
      <w:r>
        <w:t xml:space="preserve">6.1 Prinsip Evaluasi Pasca-Insiden yang Konstruktif</w:t>
      </w:r>
    </w:p>
    <w:p>
      <w:pPr>
        <w:pStyle w:val="FirstParagraph"/>
      </w:pPr>
      <w:r>
        <w:rPr>
          <w:bCs/>
          <w:b/>
        </w:rPr>
        <w:t xml:space="preserve">Mengapa Ini Penting.</w:t>
      </w:r>
      <w:r>
        <w:t xml:space="preserve"> </w:t>
      </w:r>
      <w:r>
        <w:t xml:space="preserve">Cara sebuah organisasi merespons kegagalannya seringkali lebih menentukan masa depannya dibanding kegagalan itu sendiri. Bab ini menekankan bahwa evaluasi yang konstruktif adalah investasi jangka panjang bagi keselamatan jemaah, bukan sekadar prosedur administratif pasca-kejadian.</w:t>
      </w:r>
    </w:p>
    <w:p>
      <w:pPr>
        <w:pStyle w:val="BodyText"/>
      </w:pPr>
      <w:r>
        <w:t xml:space="preserve">Evaluasi pasca-insiden yang efektif berfokus pada pembelajaran sistemik untuk perbaikan (learning-oriented), bukan semata pencarian pihak yang harus disalahkan (blame-oriented), meski akuntabilitas tetap menjadi bagian penting dari proses evaluasi yang transparan. Pendekatan yang terlalu berorientasi menyalahkan berisiko menghambat keterbukaan pihak-pihak yang terlibat dalam memberikan informasi jujur tentang apa yang sesungguhnya terjadi.</w:t>
      </w:r>
    </w:p>
    <w:p>
      <w:pPr>
        <w:pStyle w:val="BodyText"/>
      </w:pPr>
      <w:r>
        <w:rPr>
          <w:iCs/>
          <w:i/>
        </w:rPr>
        <w:t xml:space="preserve">Ilustrasi.</w:t>
      </w:r>
      <w:r>
        <w:t xml:space="preserve"> </w:t>
      </w:r>
      <w:r>
        <w:t xml:space="preserve">Sebuah tim TKHI yang terlibat dalam insiden tertentu mungkin enggan menceritakan detail lengkap kronologi kejadian jika mereka mengkhawatirkan konsekuensi personal berat. Evaluasi yang berorientasi pembelajaran menciptakan ruang aman bagi mereka untuk berbagi informasi jujur — termasuk kesalahan yang mungkin mereka lakukan — karena tujuannya adalah memperbaiki sistem, bukan mencari kambing hitam.</w:t>
      </w:r>
    </w:p>
    <w:bookmarkEnd w:id="57"/>
    <w:bookmarkStart w:id="58" w:name="kerangka-evaluasi-terstruktur"/>
    <w:p>
      <w:pPr>
        <w:pStyle w:val="Heading3"/>
      </w:pPr>
      <w:r>
        <w:t xml:space="preserve">6.2 Kerangka Evaluasi Terstruktur</w:t>
      </w:r>
    </w:p>
    <w:p>
      <w:pPr>
        <w:pStyle w:val="FirstParagraph"/>
      </w:pPr>
      <w:r>
        <w:t xml:space="preserve">Evaluasi pasca-insiden yang terstruktur idealnya mencakup rekonstruksi kronologi kejadian secara akurat, analisis root cause multi-level sebagaimana dibahas pada Bab 4, penilaian efektivitas respons yang telah dilakukan dibandingkan protokol yang direncanakan, dan perumusan rekomendasi perbaikan yang konkret dan dapat ditindaklanjuti oleh pihak berwenang terkait.</w:t>
      </w:r>
    </w:p>
    <w:bookmarkEnd w:id="58"/>
    <w:bookmarkStart w:id="59" w:name="tantangan-evaluasi-lintas-negara"/>
    <w:p>
      <w:pPr>
        <w:pStyle w:val="Heading3"/>
      </w:pPr>
      <w:r>
        <w:t xml:space="preserve">6.3 Tantangan Evaluasi Lintas Negara</w:t>
      </w:r>
    </w:p>
    <w:p>
      <w:pPr>
        <w:pStyle w:val="FirstParagraph"/>
      </w:pPr>
      <w:r>
        <w:t xml:space="preserve">Evaluasi pasca-insiden pada konteks haji menghadapi tantangan tambahan karena sifat lintas negara peristiwa: akses informasi resmi mungkin terbatas bagi negara pengirim yang bukan otoritas utama penyelenggara, perbedaan kepentingan politik-diplomatik antar-negara dapat memengaruhi keterbukaan proses evaluasi, dan kesulitan menyatukan data dari berbagai sumber negara pengirim yang masing-masing mencatat informasi secara independen.</w:t>
      </w:r>
    </w:p>
    <w:p>
      <w:pPr>
        <w:pStyle w:val="BodyText"/>
      </w:pPr>
      <w:r>
        <w:rPr>
          <w:iCs/>
          <w:i/>
        </w:rPr>
        <w:t xml:space="preserve">Ilustrasi.</w:t>
      </w:r>
      <w:r>
        <w:t xml:space="preserve"> </w:t>
      </w:r>
      <w:r>
        <w:t xml:space="preserve">Indonesia sebagai negara pengirim mungkin hanya memiliki akses ke sebagian informasi resmi tentang sebuah insiden, sementara data lengkap berada di tangan otoritas Arab Saudi selaku penyelenggara. Keterbatasan akses ini menjadi tantangan nyata bagi mahasiswa yang ingin melakukan evaluasi mendalam berbasis data primer dari insiden semacam ini.</w:t>
      </w:r>
    </w:p>
    <w:bookmarkEnd w:id="59"/>
    <w:bookmarkStart w:id="60" w:name="X66781aae330ea5586e12e70da4dcc872ce9080f"/>
    <w:p>
      <w:pPr>
        <w:pStyle w:val="Heading3"/>
      </w:pPr>
      <w:r>
        <w:t xml:space="preserve">6.4 Menerjemahkan Evaluasi Menjadi Perubahan Kebijakan Nyata</w:t>
      </w:r>
    </w:p>
    <w:p>
      <w:pPr>
        <w:pStyle w:val="FirstParagraph"/>
      </w:pPr>
      <w:r>
        <w:t xml:space="preserve">Tantangan terbesar evaluasi pasca-insiden bukan pada tahap analisis, melainkan pada tahap memastikan rekomendasi benar-benar diterjemahkan menjadi perubahan kebijakan dan praktik nyata pada musim-musim berikutnya. Mahasiswa yang tertarik pada topik ini dapat mengarahkan tesisnya pada evaluasi implementasi rekomendasi pasca-insiden tertentu, menilai sejauh mana rekomendasi yang dirumuskan benar-benar diadopsi dalam praktik operasional.</w:t>
      </w:r>
    </w:p>
    <w:bookmarkEnd w:id="60"/>
    <w:bookmarkStart w:id="61" w:name="ringkasan-poin-kunci-5"/>
    <w:p>
      <w:pPr>
        <w:pStyle w:val="Heading3"/>
      </w:pPr>
      <w:r>
        <w:t xml:space="preserve">Ringkasan Poin Kunci</w:t>
      </w:r>
    </w:p>
    <w:p>
      <w:pPr>
        <w:numPr>
          <w:ilvl w:val="0"/>
          <w:numId w:val="1012"/>
        </w:numPr>
        <w:pStyle w:val="Compact"/>
      </w:pPr>
      <w:r>
        <w:t xml:space="preserve">Evaluasi pasca-insiden yang efektif berorientasi pembelajaran sistemik, bukan semata pencarian pihak yang disalahkan.</w:t>
      </w:r>
    </w:p>
    <w:p>
      <w:pPr>
        <w:numPr>
          <w:ilvl w:val="0"/>
          <w:numId w:val="1012"/>
        </w:numPr>
        <w:pStyle w:val="Compact"/>
      </w:pPr>
      <w:r>
        <w:t xml:space="preserve">Kerangka evaluasi terstruktur mencakup rekonstruksi kronologi, analisis root cause, penilaian efektivitas respons, dan rekomendasi konkret.</w:t>
      </w:r>
    </w:p>
    <w:p>
      <w:pPr>
        <w:numPr>
          <w:ilvl w:val="0"/>
          <w:numId w:val="1012"/>
        </w:numPr>
        <w:pStyle w:val="Compact"/>
      </w:pPr>
      <w:r>
        <w:t xml:space="preserve">Evaluasi lintas negara menghadapi tantangan akses informasi, kepentingan politik-diplomatik, dan penyatuan data dari berbagai sumber.</w:t>
      </w:r>
    </w:p>
    <w:p>
      <w:pPr>
        <w:numPr>
          <w:ilvl w:val="0"/>
          <w:numId w:val="1012"/>
        </w:numPr>
        <w:pStyle w:val="Compact"/>
      </w:pPr>
      <w:r>
        <w:t xml:space="preserve">Tantangan terbesar adalah memastikan rekomendasi evaluasi benar-benar diterjemahkan menjadi perubahan kebijakan dan praktik nyata.</w:t>
      </w:r>
    </w:p>
    <w:bookmarkEnd w:id="61"/>
    <w:bookmarkStart w:id="62" w:name="pertanyaan-diskusilatihan-5"/>
    <w:p>
      <w:pPr>
        <w:pStyle w:val="Heading3"/>
      </w:pPr>
      <w:r>
        <w:t xml:space="preserve">Pertanyaan Diskusi/Latihan</w:t>
      </w:r>
    </w:p>
    <w:p>
      <w:pPr>
        <w:numPr>
          <w:ilvl w:val="0"/>
          <w:numId w:val="1013"/>
        </w:numPr>
        <w:pStyle w:val="Compact"/>
      </w:pPr>
      <w:r>
        <w:t xml:space="preserve">Jelaskan mengapa pendekatan evaluasi yang terlalu berorientasi menyalahkan dapat menghambat proses pembelajaran sistemik pasca-insiden.</w:t>
      </w:r>
    </w:p>
    <w:p>
      <w:pPr>
        <w:numPr>
          <w:ilvl w:val="0"/>
          <w:numId w:val="1013"/>
        </w:numPr>
        <w:pStyle w:val="Compact"/>
      </w:pPr>
      <w:r>
        <w:t xml:space="preserve">Diskusikan tantangan khas evaluasi pasca-insiden pada konteks lintas negara seperti haji dibandingkan bencana domestik biasa.</w:t>
      </w:r>
    </w:p>
    <w:p>
      <w:pPr>
        <w:numPr>
          <w:ilvl w:val="0"/>
          <w:numId w:val="1013"/>
        </w:numPr>
        <w:pStyle w:val="Compact"/>
      </w:pPr>
      <w:r>
        <w:t xml:space="preserve">Rancang kerangka riset evaluatif untuk menilai sejauh mana rekomendasi pasca-insiden tertentu telah diimplementasikan pada musim haji berikutnya.</w:t>
      </w:r>
    </w:p>
    <w:bookmarkEnd w:id="62"/>
    <w:bookmarkEnd w:id="63"/>
    <w:bookmarkStart w:id="70" w:name="Xc4c35da80696fe207d23bc9f7f9fc64257f7c1c"/>
    <w:p>
      <w:pPr>
        <w:pStyle w:val="Heading2"/>
      </w:pPr>
      <w:r>
        <w:t xml:space="preserve">Bab 7. Kesiapsiagaan Rumah Sakit Rujukan dan Sistem Rujukan Lintas-Negara</w:t>
      </w:r>
    </w:p>
    <w:bookmarkStart w:id="64" w:name="Xf3707bf8e5b76fe00f99c4e1844afa7f5c350ae"/>
    <w:p>
      <w:pPr>
        <w:pStyle w:val="Heading3"/>
      </w:pPr>
      <w:r>
        <w:t xml:space="preserve">7.1 Arsitektur Sistem Rujukan pada Konteks Haji</w:t>
      </w:r>
    </w:p>
    <w:p>
      <w:pPr>
        <w:pStyle w:val="FirstParagraph"/>
      </w:pPr>
      <w:r>
        <w:rPr>
          <w:bCs/>
          <w:b/>
        </w:rPr>
        <w:t xml:space="preserve">Mengapa Ini Penting.</w:t>
      </w:r>
      <w:r>
        <w:t xml:space="preserve"> </w:t>
      </w:r>
      <w:r>
        <w:t xml:space="preserve">Bab penutup buku A6 ini menyatukan seluruh pembahasan manajemen bencana yang telah dibangun sejak Bab 1 ke dalam satu pertanyaan praktis terakhir: setelah korban ditriase dan dievakuasi, ke mana sesungguhnya mereka akan dibawa, dan seberapa siap sistem itu menampung mereka?</w:t>
      </w:r>
    </w:p>
    <w:p>
      <w:pPr>
        <w:pStyle w:val="BodyText"/>
      </w:pPr>
      <w:r>
        <w:t xml:space="preserve">Sistem rujukan kesehatan haji melibatkan jenjang bertingkat: penanganan awal oleh TKHI di tingkat kloter, rujukan ke KKHI sebagai fasilitas rujukan tingkat menengah milik Indonesia, dan rujukan lanjutan ke rumah sakit otoritas Arab Saudi untuk kasus yang memerlukan penanganan lebih kompleks. Kesiapsiagaan sistem rujukan yang efektif menuntut kejelasan kriteria rujukan pada setiap jenjang serta kapasitas transportasi medis yang memadai antar-jenjang, khususnya pada kondisi kepadatan crowd yang dapat menghambat mobilitas kendaraan evakuasi.</w:t>
      </w:r>
    </w:p>
    <w:p>
      <w:pPr>
        <w:pStyle w:val="BodyText"/>
      </w:pPr>
      <w:r>
        <w:rPr>
          <w:iCs/>
          <w:i/>
        </w:rPr>
        <w:t xml:space="preserve">Ilustrasi.</w:t>
      </w:r>
      <w:r>
        <w:t xml:space="preserve"> </w:t>
      </w:r>
      <w:r>
        <w:t xml:space="preserve">Seorang korban crowd crush dengan cedera crush syndrome awal ditangani pertama oleh TKHI di lapangan, distabilkan sementara di KKHI, lalu dirujuk ke rumah sakit Arab Saudi untuk penanganan komplikasi ginjal yang lebih kompleks. Setiap jenjang dalam rantai ini harus tahu persis kapan harus merujuk ke jenjang berikutnya — keterlambatan di satu titik saja dapat memperburuk keseluruhan prognosis pasien.</w:t>
      </w:r>
    </w:p>
    <w:bookmarkEnd w:id="64"/>
    <w:bookmarkStart w:id="65" w:name="Xf7fd721ff5e2fe747aed347a27d4f1da464d3f0"/>
    <w:p>
      <w:pPr>
        <w:pStyle w:val="Heading3"/>
      </w:pPr>
      <w:r>
        <w:t xml:space="preserve">7.2 Kapasitas Surge (Lonjakan) Rumah Sakit Rujukan</w:t>
      </w:r>
    </w:p>
    <w:p>
      <w:pPr>
        <w:pStyle w:val="FirstParagraph"/>
      </w:pPr>
      <w:r>
        <w:t xml:space="preserve">Pada peristiwa MCI, rumah sakit rujukan menghadapi tuntutan surge capacity — kemampuan menangani lonjakan jumlah pasien yang jauh melampaui kapasitas operasional normal dalam waktu singkat. Kesiapsiagaan surge capacity mencakup protokol aktivasi cepat tempat tidur tambahan, mobilisasi tenaga kesehatan cadangan, dan penyesuaian sementara prioritas pelayanan non-darurat untuk mengalokasikan sumber daya bagi korban MCI.</w:t>
      </w:r>
    </w:p>
    <w:p>
      <w:pPr>
        <w:pStyle w:val="BodyText"/>
      </w:pPr>
      <w:r>
        <w:rPr>
          <w:iCs/>
          <w:i/>
        </w:rPr>
        <w:t xml:space="preserve">Ilustrasi.</w:t>
      </w:r>
      <w:r>
        <w:t xml:space="preserve"> </w:t>
      </w:r>
      <w:r>
        <w:t xml:space="preserve">KKHI yang biasanya menangani puluhan pasien per hari tiba-tiba menerima ratusan korban dalam hitungan jam pasca-insiden crowd disaster. Protokol surge capacity yang telah disiapkan sebelumnya memungkinkan KKHI dengan cepat mengaktifkan ruang tambahan, memanggil tenaga cadangan, dan menunda sementara layanan non-darurat rutin — respons yang jauh berbeda dari skenario di mana protokol semacam ini baru dipikirkan saat insiden sedang berlangsung.</w:t>
      </w:r>
    </w:p>
    <w:bookmarkEnd w:id="65"/>
    <w:bookmarkStart w:id="66" w:name="X3d012a3b3609d385d9e2abcb62c1082cd398a36"/>
    <w:p>
      <w:pPr>
        <w:pStyle w:val="Heading3"/>
      </w:pPr>
      <w:r>
        <w:t xml:space="preserve">7.3 Koordinasi Rujukan Lintas-Negara pada Kasus Kompleks</w:t>
      </w:r>
    </w:p>
    <w:p>
      <w:pPr>
        <w:pStyle w:val="FirstParagraph"/>
      </w:pPr>
      <w:r>
        <w:t xml:space="preserve">Kasus yang memerlukan rujukan ke rumah sakit otoritas Arab Saudi menuntut koordinasi yang efisien antara KKHI dan sistem kesehatan Arab Saudi, termasuk pertukaran informasi klinis yang cepat dan akurat untuk memastikan kesinambungan penanganan — sebuah tantangan yang berkaitan erat dengan isu interoperabilitas data kesehatan yang dibahas pada Bab 4 buku tematik A2.</w:t>
      </w:r>
    </w:p>
    <w:bookmarkEnd w:id="66"/>
    <w:bookmarkStart w:id="67" w:name="X0c459b8b2fa7f93e8db6f9de8b65aaf32e74173"/>
    <w:p>
      <w:pPr>
        <w:pStyle w:val="Heading3"/>
      </w:pPr>
      <w:r>
        <w:t xml:space="preserve">7.4 Evaluasi Kesiapsiagaan Sistem Rujukan sebagai Arah Riset</w:t>
      </w:r>
    </w:p>
    <w:p>
      <w:pPr>
        <w:pStyle w:val="FirstParagraph"/>
      </w:pPr>
      <w:r>
        <w:t xml:space="preserve">Evaluasi kesiapsiagaan sistem rujukan — mencakup waktu tempuh rujukan aktual dibandingkan standar yang ditetapkan, tingkat keberhasilan koordinasi lintas-negara pada kasus kompleks, dan kecukupan surge capacity rumah sakit rujukan pada skenario MCI — merupakan arah riset tesis yang relevan dan applicable bagi perbaikan kebijakan kesiapsiagaan kesehatan haji Indonesia ke depan, menutup pembahasan buku tematik A6 ini yang secara keseluruhan melengkapi pemahaman manajemen bencana skala populasi bagi mahasiswa Magister Kedokteran Haji.</w:t>
      </w:r>
    </w:p>
    <w:bookmarkEnd w:id="67"/>
    <w:bookmarkStart w:id="68" w:name="ringkasan-poin-kunci-6"/>
    <w:p>
      <w:pPr>
        <w:pStyle w:val="Heading3"/>
      </w:pPr>
      <w:r>
        <w:t xml:space="preserve">Ringkasan Poin Kunci</w:t>
      </w:r>
    </w:p>
    <w:p>
      <w:pPr>
        <w:numPr>
          <w:ilvl w:val="0"/>
          <w:numId w:val="1014"/>
        </w:numPr>
        <w:pStyle w:val="Compact"/>
      </w:pPr>
      <w:r>
        <w:t xml:space="preserve">Sistem rujukan kesehatan haji berjenjang dari TKHI, KKHI, hingga rumah sakit rujukan otoritas Arab Saudi untuk kasus kompleks.</w:t>
      </w:r>
    </w:p>
    <w:p>
      <w:pPr>
        <w:numPr>
          <w:ilvl w:val="0"/>
          <w:numId w:val="1014"/>
        </w:numPr>
        <w:pStyle w:val="Compact"/>
      </w:pPr>
      <w:r>
        <w:t xml:space="preserve">Kesiapsiagaan surge capacity rumah sakit rujukan krusial untuk menangani lonjakan pasien MCI yang melampaui kapasitas operasional normal.</w:t>
      </w:r>
    </w:p>
    <w:p>
      <w:pPr>
        <w:numPr>
          <w:ilvl w:val="0"/>
          <w:numId w:val="1014"/>
        </w:numPr>
        <w:pStyle w:val="Compact"/>
      </w:pPr>
      <w:r>
        <w:t xml:space="preserve">Koordinasi rujukan lintas-negara menuntut pertukaran informasi klinis yang cepat, berkaitan erat dengan isu interoperabilitas data kesehatan.</w:t>
      </w:r>
    </w:p>
    <w:p>
      <w:pPr>
        <w:numPr>
          <w:ilvl w:val="0"/>
          <w:numId w:val="1014"/>
        </w:numPr>
        <w:pStyle w:val="Compact"/>
      </w:pPr>
      <w:r>
        <w:t xml:space="preserve">Evaluasi kesiapsiagaan sistem rujukan (waktu tempuh, keberhasilan koordinasi, surge capacity) adalah arah riset tesis yang applicable.</w:t>
      </w:r>
    </w:p>
    <w:bookmarkEnd w:id="68"/>
    <w:bookmarkStart w:id="69" w:name="pertanyaan-diskusilatihan-6"/>
    <w:p>
      <w:pPr>
        <w:pStyle w:val="Heading3"/>
      </w:pPr>
      <w:r>
        <w:t xml:space="preserve">Pertanyaan Diskusi/Latihan</w:t>
      </w:r>
    </w:p>
    <w:p>
      <w:pPr>
        <w:numPr>
          <w:ilvl w:val="0"/>
          <w:numId w:val="1015"/>
        </w:numPr>
        <w:pStyle w:val="Compact"/>
      </w:pPr>
      <w:r>
        <w:t xml:space="preserve">Jelaskan arsitektur berjenjang sistem rujukan kesehatan haji dan kriteria yang idealnya menentukan rujukan antar-jenjang.</w:t>
      </w:r>
    </w:p>
    <w:p>
      <w:pPr>
        <w:numPr>
          <w:ilvl w:val="0"/>
          <w:numId w:val="1015"/>
        </w:numPr>
        <w:pStyle w:val="Compact"/>
      </w:pPr>
      <w:r>
        <w:t xml:space="preserve">Diskusikan komponen kesiapsiagaan surge capacity yang perlu dimiliki rumah sakit rujukan menghadapi skenario MCI pada konteks haji.</w:t>
      </w:r>
    </w:p>
    <w:p>
      <w:pPr>
        <w:numPr>
          <w:ilvl w:val="0"/>
          <w:numId w:val="1015"/>
        </w:numPr>
        <w:pStyle w:val="Compact"/>
      </w:pPr>
      <w:r>
        <w:t xml:space="preserve">Rancang kerangka riset evaluatif untuk menilai kesiapsiagaan sistem rujukan lintas-negara pada kasus kompleks yang memerlukan rujukan ke rumah sakit Arab Saudi.</w:t>
      </w:r>
    </w:p>
    <w:bookmarkEnd w:id="69"/>
    <w:bookmarkEnd w:id="70"/>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2026-07-07T23:22:21Z</dcterms:created>
  <dcterms:modified xsi:type="dcterms:W3CDTF">2026-07-07T23:22:21Z</dcterms:modified>
</cp:coreProperties>
</file>

<file path=docProps/custom.xml><?xml version="1.0" encoding="utf-8"?>
<Properties xmlns="http://schemas.openxmlformats.org/officeDocument/2006/custom-properties" xmlns:vt="http://schemas.openxmlformats.org/officeDocument/2006/docPropsVTypes"/>
</file>