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71" w:name="X35bf489865b0de77121fe4e9bdfbc064b198f0a"/>
    <w:p>
      <w:pPr>
        <w:pStyle w:val="Heading1"/>
      </w:pPr>
      <w:r>
        <w:t xml:space="preserve">A5 — Kebijakan Kesehatan Haji dan Regulasi Internasional (Saudi, WHO, Kemenhaj)</w:t>
      </w:r>
    </w:p>
    <w:p>
      <w:pPr>
        <w:pStyle w:val="FirstParagraph"/>
      </w:pPr>
      <w:r>
        <w:rPr>
          <w:bCs/>
          <w:b/>
        </w:rPr>
        <w:t xml:space="preserve">Jalur:</w:t>
      </w:r>
      <w:r>
        <w:t xml:space="preserve"> </w:t>
      </w:r>
      <w:r>
        <w:t xml:space="preserve">Magister Kedokteran Haji (Reguler) — Buku Tematik |</w:t>
      </w:r>
      <w:r>
        <w:t xml:space="preserve"> </w:t>
      </w:r>
      <w:r>
        <w:rPr>
          <w:bCs/>
          <w:b/>
        </w:rPr>
        <w:t xml:space="preserve">Jenjang/Durasi:</w:t>
      </w:r>
      <w:r>
        <w:t xml:space="preserve"> </w:t>
      </w:r>
      <w:r>
        <w:t xml:space="preserve">2 tahun / 8 semester</w:t>
      </w:r>
    </w:p>
    <w:bookmarkStart w:id="20" w:name="deskripsi-singkat"/>
    <w:p>
      <w:pPr>
        <w:pStyle w:val="Heading2"/>
      </w:pPr>
      <w:r>
        <w:t xml:space="preserve">Deskripsi Singkat</w:t>
      </w:r>
    </w:p>
    <w:p>
      <w:pPr>
        <w:pStyle w:val="FirstParagraph"/>
      </w:pPr>
      <w:r>
        <w:t xml:space="preserve">Buku ini memperdalam bab sistem kesehatan pada buku utama A1 (Bab 3 dan Bab 8), penting bagi mahasiswa yang mengarah ke jalur analis kebijakan/akademisi. Fokus pembahasan adalah arsitektur regulasi lintas negara secara rinci, analisis kebijakan berbasis studi kasus, dan keterampilan advokasi berbasis bukti — melengkapi pembahasan naratif-konseptual yang telah diberikan pada buku utama.</w:t>
      </w:r>
    </w:p>
    <w:bookmarkEnd w:id="20"/>
    <w:bookmarkStart w:id="21" w:name="daftar-isi"/>
    <w:p>
      <w:pPr>
        <w:pStyle w:val="Heading2"/>
      </w:pPr>
      <w:r>
        <w:t xml:space="preserve">Daftar Isi</w:t>
      </w:r>
    </w:p>
    <w:p>
      <w:pPr>
        <w:numPr>
          <w:ilvl w:val="0"/>
          <w:numId w:val="1001"/>
        </w:numPr>
        <w:pStyle w:val="Compact"/>
      </w:pPr>
      <w:r>
        <w:t xml:space="preserve">Bab 1. Kerangka Regulasi Kesehatan Haji oleh Kerajaan Arab Saudi</w:t>
      </w:r>
    </w:p>
    <w:p>
      <w:pPr>
        <w:numPr>
          <w:ilvl w:val="0"/>
          <w:numId w:val="1001"/>
        </w:numPr>
        <w:pStyle w:val="Compact"/>
      </w:pPr>
      <w:r>
        <w:t xml:space="preserve">Bab 2. Peran WHO dan Regulasi Kesehatan Internasional (IHR) dalam Haji</w:t>
      </w:r>
    </w:p>
    <w:p>
      <w:pPr>
        <w:numPr>
          <w:ilvl w:val="0"/>
          <w:numId w:val="1001"/>
        </w:numPr>
        <w:pStyle w:val="Compact"/>
      </w:pPr>
      <w:r>
        <w:t xml:space="preserve">Bab 3. Kebijakan Istithaah Kesehatan di Indonesia: Sejarah dan Perkembangan</w:t>
      </w:r>
    </w:p>
    <w:p>
      <w:pPr>
        <w:numPr>
          <w:ilvl w:val="0"/>
          <w:numId w:val="1001"/>
        </w:numPr>
        <w:pStyle w:val="Compact"/>
      </w:pPr>
      <w:r>
        <w:t xml:space="preserve">Bab 4. Koordinasi Lintas-Kementerian: Kemenhaj, Kemenkes, dan Kemenlu</w:t>
      </w:r>
    </w:p>
    <w:p>
      <w:pPr>
        <w:numPr>
          <w:ilvl w:val="0"/>
          <w:numId w:val="1001"/>
        </w:numPr>
        <w:pStyle w:val="Compact"/>
      </w:pPr>
      <w:r>
        <w:t xml:space="preserve">Bab 5. Analisis Kebijakan Manasik Kesehatan 2027 sebagai Studi Kasus</w:t>
      </w:r>
    </w:p>
    <w:p>
      <w:pPr>
        <w:numPr>
          <w:ilvl w:val="0"/>
          <w:numId w:val="1001"/>
        </w:numPr>
        <w:pStyle w:val="Compact"/>
      </w:pPr>
      <w:r>
        <w:t xml:space="preserve">Bab 6. Perbandingan Kebijakan Kesehatan Haji Antar-Negara Pengirim Jemaah</w:t>
      </w:r>
    </w:p>
    <w:p>
      <w:pPr>
        <w:numPr>
          <w:ilvl w:val="0"/>
          <w:numId w:val="1001"/>
        </w:numPr>
        <w:pStyle w:val="Compact"/>
      </w:pPr>
      <w:r>
        <w:t xml:space="preserve">Bab 7. Advokasi dan Perumusan Rekomendasi Kebijakan Berbasis Bukti</w:t>
      </w:r>
    </w:p>
    <w:bookmarkEnd w:id="21"/>
    <w:bookmarkStart w:id="28" w:name="X80648a682635b85f90b6584a0dcfa5313721db2"/>
    <w:p>
      <w:pPr>
        <w:pStyle w:val="Heading2"/>
      </w:pPr>
      <w:r>
        <w:t xml:space="preserve">Bab 1. Kerangka Regulasi Kesehatan Haji oleh Kerajaan Arab Saudi</w:t>
      </w:r>
    </w:p>
    <w:bookmarkStart w:id="22" w:name="kedaulatan-regulasi-negara-penyelenggara"/>
    <w:p>
      <w:pPr>
        <w:pStyle w:val="Heading3"/>
      </w:pPr>
      <w:r>
        <w:t xml:space="preserve">1.1 Kedaulatan Regulasi Negara Penyelenggara</w:t>
      </w:r>
    </w:p>
    <w:p>
      <w:pPr>
        <w:pStyle w:val="FirstParagraph"/>
      </w:pPr>
      <w:r>
        <w:rPr>
          <w:bCs/>
          <w:b/>
        </w:rPr>
        <w:t xml:space="preserve">Mengapa Ini Penting.</w:t>
      </w:r>
      <w:r>
        <w:t xml:space="preserve"> </w:t>
      </w:r>
      <w:r>
        <w:t xml:space="preserve">Setiap analisis kebijakan dalam buku ini akan selalu kembali ke satu titik acuan: kedaulatan regulasi Arab Saudi. Mahasiswa yang tidak memahami hierarki ini sejak awal berisiko merumuskan rekomendasi kebijakan yang secara struktural tidak realistis.</w:t>
      </w:r>
    </w:p>
    <w:p>
      <w:pPr>
        <w:pStyle w:val="BodyText"/>
      </w:pPr>
      <w:r>
        <w:t xml:space="preserve">Sebagai negara penyelenggara, Kerajaan Arab Saudi memegang kedaulatan penuh untuk menetapkan persyaratan kesehatan bagi seluruh jemaah yang memasuki wilayahnya, termasuk persyaratan vaksinasi, protokol kesehatan pada masa tertentu, dan standar operasional fasilitas kesehatan yang melayani jemaah selama musim haji berlangsung. [VERIFIKASI SUMBER] Kedaulatan ini menjadi titik acuan yang harus dipahami mahasiswa sebelum menganalisis kebijakan kesehatan haji negara pengirim mana pun, karena kebijakan negara pengirim pada dasarnya beroperasi sebagai penyesuaian terhadap kerangka yang ditetapkan negara penyelenggara.</w:t>
      </w:r>
    </w:p>
    <w:p>
      <w:pPr>
        <w:pStyle w:val="BodyText"/>
      </w:pPr>
      <w:r>
        <w:rPr>
          <w:iCs/>
          <w:i/>
        </w:rPr>
        <w:t xml:space="preserve">Ilustrasi.</w:t>
      </w:r>
      <w:r>
        <w:t xml:space="preserve"> </w:t>
      </w:r>
      <w:r>
        <w:t xml:space="preserve">Seorang mahasiswa merancang rekomendasi</w:t>
      </w:r>
      <w:r>
        <w:t xml:space="preserve"> </w:t>
      </w:r>
      <w:r>
        <w:t xml:space="preserve">“</w:t>
      </w:r>
      <w:r>
        <w:t xml:space="preserve">Indonesia sebaiknya memperpanjang jam operasional pos kesehatan di jamarat</w:t>
      </w:r>
      <w:r>
        <w:t xml:space="preserve">”</w:t>
      </w:r>
      <w:r>
        <w:t xml:space="preserve">. Setelah mempelajari bab ini, ia menyadari bahwa jam operasional dan infrastruktur di jamarat berada di bawah kewenangan otoritas Arab Saudi, bukan Indonesia — sehingga rekomendasi yang lebih realistis adalah mengarahkan Indonesia untuk mengadvokasi isu ini melalui jalur diplomatik, bukan menyarankan implementasi langsung.</w:t>
      </w:r>
    </w:p>
    <w:bookmarkEnd w:id="22"/>
    <w:bookmarkStart w:id="23" w:name="Xceb336813231e57efce0b19550e772c9463b135"/>
    <w:p>
      <w:pPr>
        <w:pStyle w:val="Heading3"/>
      </w:pPr>
      <w:r>
        <w:t xml:space="preserve">1.2 Otoritas Kesehatan dan Infrastruktur Layanan</w:t>
      </w:r>
    </w:p>
    <w:p>
      <w:pPr>
        <w:pStyle w:val="FirstParagraph"/>
      </w:pPr>
      <w:r>
        <w:t xml:space="preserve">Otoritas kesehatan Arab Saudi mengelola infrastruktur layanan kesehatan berskala besar di area-area ibadah, termasuk rumah sakit dan pos kesehatan yang tersebar di titik-titik strategis, yang melayani seluruh jemaah tanpa memandang negara asal, berdampingan dengan fasilitas kesehatan milik negara pengirim seperti KKHI Indonesia. Pembagian peran antara fasilitas kesehatan Arab Saudi dan fasilitas kesehatan negara pengirim, termasuk protokol rujukan antar-keduanya, menjadi elemen penting yang perlu dipahami mahasiswa yang menganalisis efektivitas sistem rujukan lintas negara.</w:t>
      </w:r>
    </w:p>
    <w:bookmarkEnd w:id="23"/>
    <w:bookmarkStart w:id="24" w:name="X71002d9dfc3e3de24f018630ecfb5ef52d10e9d"/>
    <w:p>
      <w:pPr>
        <w:pStyle w:val="Heading3"/>
      </w:pPr>
      <w:r>
        <w:t xml:space="preserve">1.3 Regulasi Kuota dan Implikasinya bagi Kesehatan</w:t>
      </w:r>
    </w:p>
    <w:p>
      <w:pPr>
        <w:pStyle w:val="FirstParagraph"/>
      </w:pPr>
      <w:r>
        <w:t xml:space="preserve">Regulasi kuota jemaah yang ditetapkan Arab Saudi bagi setiap negara pengirim memiliki implikasi tidak langsung namun signifikan terhadap kesehatan populasi jemaah, mengingat kuota memengaruhi lamanya masa tunggu di negara pengirim (sebagaimana dibahas pada Bab 6 buku utama A1) yang pada gilirannya memengaruhi usia dan profil komorbiditas jemaah saat akhirnya berangkat.</w:t>
      </w:r>
    </w:p>
    <w:p>
      <w:pPr>
        <w:pStyle w:val="BodyText"/>
      </w:pPr>
      <w:r>
        <w:rPr>
          <w:iCs/>
          <w:i/>
        </w:rPr>
        <w:t xml:space="preserve">Ilustrasi.</w:t>
      </w:r>
      <w:r>
        <w:t xml:space="preserve"> </w:t>
      </w:r>
      <w:r>
        <w:t xml:space="preserve">Penetapan kuota jemaah Indonesia yang relatif terbatas dibanding jumlah pendaftar setiap tahunnya menjadi salah satu penyebab masa tunggu belasan hingga puluhan tahun di sejumlah wilayah. Rantai sebab-akibat ini menjelaskan mengapa sebuah keputusan kuota di level regulasi internasional dapat, beberapa langkah kemudian, bermanifestasi sebagai peningkatan proporsi jemaah lanjut usia berkomorbiditas yang dibahas panjang lebar pada Bab 6 buku utama A1.</w:t>
      </w:r>
    </w:p>
    <w:bookmarkEnd w:id="24"/>
    <w:bookmarkStart w:id="25" w:name="Xd5a192f47e9c2174dbdb97007e4f3b4c9dea3dc"/>
    <w:p>
      <w:pPr>
        <w:pStyle w:val="Heading3"/>
      </w:pPr>
      <w:r>
        <w:t xml:space="preserve">1.4 Dinamika Perubahan Kebijakan Menjelang Musim Haji</w:t>
      </w:r>
    </w:p>
    <w:p>
      <w:pPr>
        <w:pStyle w:val="FirstParagraph"/>
      </w:pPr>
      <w:r>
        <w:t xml:space="preserve">Kebijakan kesehatan Arab Saudi dapat mengalami penyesuaian menjelang setiap musim haji, menyesuaikan kondisi kesehatan global terkini maupun evaluasi dari musim-musim sebelumnya. Dinamika ini menuntut negara pengirim, termasuk Indonesia, memiliki mekanisme pemantauan kebijakan yang responsif agar dapat menyesuaikan persiapan jemaah secara tepat waktu, sebuah tantangan koordinasi yang dibahas lebih lanjut pada Bab 4.</w:t>
      </w:r>
    </w:p>
    <w:bookmarkEnd w:id="25"/>
    <w:bookmarkStart w:id="26" w:name="ringkasan-poin-kunci"/>
    <w:p>
      <w:pPr>
        <w:pStyle w:val="Heading3"/>
      </w:pPr>
      <w:r>
        <w:t xml:space="preserve">Ringkasan Poin Kunci</w:t>
      </w:r>
    </w:p>
    <w:p>
      <w:pPr>
        <w:numPr>
          <w:ilvl w:val="0"/>
          <w:numId w:val="1002"/>
        </w:numPr>
        <w:pStyle w:val="Compact"/>
      </w:pPr>
      <w:r>
        <w:t xml:space="preserve">Arab Saudi sebagai negara penyelenggara memegang kedaulatan penuh menetapkan persyaratan kesehatan bagi seluruh jemaah.</w:t>
      </w:r>
    </w:p>
    <w:p>
      <w:pPr>
        <w:numPr>
          <w:ilvl w:val="0"/>
          <w:numId w:val="1002"/>
        </w:numPr>
        <w:pStyle w:val="Compact"/>
      </w:pPr>
      <w:r>
        <w:t xml:space="preserve">Otoritas kesehatan Arab Saudi mengelola infrastruktur layanan berskala besar yang berdampingan dengan fasilitas kesehatan negara pengirim seperti KKHI.</w:t>
      </w:r>
    </w:p>
    <w:p>
      <w:pPr>
        <w:numPr>
          <w:ilvl w:val="0"/>
          <w:numId w:val="1002"/>
        </w:numPr>
        <w:pStyle w:val="Compact"/>
      </w:pPr>
      <w:r>
        <w:t xml:space="preserve">Regulasi kuota berimplikasi tidak langsung terhadap profil kesehatan jemaah melalui pengaruhnya terhadap lamanya masa tunggu.</w:t>
      </w:r>
    </w:p>
    <w:p>
      <w:pPr>
        <w:numPr>
          <w:ilvl w:val="0"/>
          <w:numId w:val="1002"/>
        </w:numPr>
        <w:pStyle w:val="Compact"/>
      </w:pPr>
      <w:r>
        <w:t xml:space="preserve">Dinamika perubahan kebijakan menjelang musim haji menuntut mekanisme pemantauan yang responsif dari negara pengirim.</w:t>
      </w:r>
    </w:p>
    <w:bookmarkEnd w:id="26"/>
    <w:bookmarkStart w:id="27" w:name="pertanyaan-diskusilatihan"/>
    <w:p>
      <w:pPr>
        <w:pStyle w:val="Heading3"/>
      </w:pPr>
      <w:r>
        <w:t xml:space="preserve">Pertanyaan Diskusi/Latihan</w:t>
      </w:r>
    </w:p>
    <w:p>
      <w:pPr>
        <w:numPr>
          <w:ilvl w:val="0"/>
          <w:numId w:val="1003"/>
        </w:numPr>
        <w:pStyle w:val="Compact"/>
      </w:pPr>
      <w:r>
        <w:t xml:space="preserve">Jelaskan mengapa kebijakan kesehatan haji negara pengirim pada dasarnya beroperasi sebagai penyesuaian terhadap kerangka Arab Saudi.</w:t>
      </w:r>
    </w:p>
    <w:p>
      <w:pPr>
        <w:numPr>
          <w:ilvl w:val="0"/>
          <w:numId w:val="1003"/>
        </w:numPr>
        <w:pStyle w:val="Compact"/>
      </w:pPr>
      <w:r>
        <w:t xml:space="preserve">Diskusikan implikasi tidak langsung regulasi kuota jemaah terhadap profil komorbiditas jemaah yang akhirnya berangkat.</w:t>
      </w:r>
    </w:p>
    <w:p>
      <w:pPr>
        <w:numPr>
          <w:ilvl w:val="0"/>
          <w:numId w:val="1003"/>
        </w:numPr>
        <w:pStyle w:val="Compact"/>
      </w:pPr>
      <w:r>
        <w:t xml:space="preserve">Rancang kerangka mekanisme pemantauan kebijakan kesehatan Arab Saudi yang dapat diterapkan Kemenkes/Kemenhaj menjelang setiap musim haji.</w:t>
      </w:r>
    </w:p>
    <w:bookmarkEnd w:id="27"/>
    <w:bookmarkEnd w:id="28"/>
    <w:bookmarkStart w:id="35" w:name="X7e86ac5ef1c5aecc10dd8f2f399cd137ed03ea1"/>
    <w:p>
      <w:pPr>
        <w:pStyle w:val="Heading2"/>
      </w:pPr>
      <w:r>
        <w:t xml:space="preserve">Bab 2. Peran WHO dan Regulasi Kesehatan Internasional (IHR) dalam Haji</w:t>
      </w:r>
    </w:p>
    <w:bookmarkStart w:id="29" w:name="ihr-sebagai-kerangka-kerja-supranasional"/>
    <w:p>
      <w:pPr>
        <w:pStyle w:val="Heading3"/>
      </w:pPr>
      <w:r>
        <w:t xml:space="preserve">2.1 IHR sebagai Kerangka Kerja Supranasional</w:t>
      </w:r>
    </w:p>
    <w:p>
      <w:pPr>
        <w:pStyle w:val="FirstParagraph"/>
      </w:pPr>
      <w:r>
        <w:rPr>
          <w:bCs/>
          <w:b/>
        </w:rPr>
        <w:t xml:space="preserve">Mengapa Ini Penting.</w:t>
      </w:r>
      <w:r>
        <w:t xml:space="preserve"> </w:t>
      </w:r>
      <w:r>
        <w:t xml:space="preserve">IHR adalah salah satu dari sedikit kerangka hukum internasional yang benar-benar operasional dalam konteks haji sehari-hari, bukan sekadar dokumen normatif — memahaminya memberi mahasiswa perspektif yang melampaui hubungan bilateral Indonesia-Arab Saudi semata.</w:t>
      </w:r>
    </w:p>
    <w:p>
      <w:pPr>
        <w:pStyle w:val="BodyText"/>
      </w:pPr>
      <w:r>
        <w:t xml:space="preserve">International Health Regulations (IHR) yang dikelola WHO menetapkan kerangka kerja hukum internasional yang mengikat negara-negara anggota dalam merespons ancaman kesehatan yang berpotensi menyebar lintas batas negara. Peristiwa kerumunan massal berskala global seperti haji menjadi salah satu konteks penerapan IHR yang paling signifikan, mengingat potensi penyebaran penyakit menular dari populasi jemaah yang berasal dari lebih 180 negara dengan profil epidemiologi berbeda-beda.</w:t>
      </w:r>
    </w:p>
    <w:bookmarkEnd w:id="29"/>
    <w:bookmarkStart w:id="30" w:name="Xda6457845e9c55fe1d99298b8e272dfb0d287a1"/>
    <w:p>
      <w:pPr>
        <w:pStyle w:val="Heading3"/>
      </w:pPr>
      <w:r>
        <w:t xml:space="preserve">2.2 Mekanisme Notifikasi dan Pelaporan Kejadian Kesehatan</w:t>
      </w:r>
    </w:p>
    <w:p>
      <w:pPr>
        <w:pStyle w:val="FirstParagraph"/>
      </w:pPr>
      <w:r>
        <w:t xml:space="preserve">IHR mewajibkan negara anggota melaporkan kejadian kesehatan masyarakat yang berpotensi menjadi Public Health Emergency of International Concern (PHEIC) kepada WHO melalui mekanisme notifikasi yang telah disepakati. Dalam konteks haji, hal ini relevan ketika terdeteksi sinyal KLB penyakit menular tertentu pada populasi jemaah yang berpotensi menyebar ke negara-negara pengirim setelah jemaah kembali ke negara asal masing-masing, sebuah skenario yang menghubungkan bab ini dengan pembahasan surveilans pada Bab 7 buku tematik A2.</w:t>
      </w:r>
    </w:p>
    <w:p>
      <w:pPr>
        <w:pStyle w:val="BodyText"/>
      </w:pPr>
      <w:r>
        <w:rPr>
          <w:iCs/>
          <w:i/>
        </w:rPr>
        <w:t xml:space="preserve">Ilustrasi.</w:t>
      </w:r>
      <w:r>
        <w:t xml:space="preserve"> </w:t>
      </w:r>
      <w:r>
        <w:t xml:space="preserve">Jika sebuah klaster penyakit menular baru terdeteksi pada jemaah dari beberapa negara berbeda menjelang kepulangan, mekanisme notifikasi IHR memungkinkan negara-negara pengirim tersebut saling memperingatkan dalam hitungan hari — jauh lebih cepat dibanding jika masing-masing negara harus menunggu laporan kasus muncul secara independen di negaranya masing-masing setelah jemaah pulang.</w:t>
      </w:r>
    </w:p>
    <w:bookmarkEnd w:id="30"/>
    <w:bookmarkStart w:id="31" w:name="X2c1db5e03866e67eecba674763b87f42b5bf151"/>
    <w:p>
      <w:pPr>
        <w:pStyle w:val="Heading3"/>
      </w:pPr>
      <w:r>
        <w:t xml:space="preserve">2.3 Rekomendasi Kesehatan WHO Menjelang Musim Haji</w:t>
      </w:r>
    </w:p>
    <w:p>
      <w:pPr>
        <w:pStyle w:val="FirstParagraph"/>
      </w:pPr>
      <w:r>
        <w:t xml:space="preserve">Menjelang setiap musim haji, WHO umumnya menerbitkan rekomendasi kesehatan yang mencakup anjuran vaksinasi dan tindakan pencegahan lain bagi jemaah dari berbagai negara, mempertimbangkan situasi kesehatan global terkini. Rekomendasi ini menjadi salah satu rujukan bagi Kemenkes dalam menetapkan persyaratan kesehatan pra-keberangkatan jemaah Indonesia, meski implementasinya tetap disesuaikan dengan kapasitas dan konteks nasional.</w:t>
      </w:r>
    </w:p>
    <w:bookmarkEnd w:id="31"/>
    <w:bookmarkStart w:id="32" w:name="X6ed228814ac08923998e7d735ce59ac41fb4eca"/>
    <w:p>
      <w:pPr>
        <w:pStyle w:val="Heading3"/>
      </w:pPr>
      <w:r>
        <w:t xml:space="preserve">2.4 Keterbatasan dan Kritik terhadap Efektivitas IHR</w:t>
      </w:r>
    </w:p>
    <w:p>
      <w:pPr>
        <w:pStyle w:val="FirstParagraph"/>
      </w:pPr>
      <w:r>
        <w:t xml:space="preserve">Sejumlah kajian akademik mencatat keterbatasan implementasi IHR pada konteks peristiwa kerumunan massal, termasuk tantangan penegakan kepatuhan negara anggota dan keterbatasan kapasitas surveilans di sejumlah negara pengirim jemaah dengan sistem kesehatan yang kurang berkembang. [VERIFIKASI SUMBER] Kritik ini menjadi bahan penting bagi mahasiswa yang tertarik meneliti efektivitas tata kelola kesehatan global dalam konteks peristiwa keagamaan berskala massal seperti haji.</w:t>
      </w:r>
    </w:p>
    <w:p>
      <w:pPr>
        <w:pStyle w:val="BodyText"/>
      </w:pPr>
      <w:r>
        <w:rPr>
          <w:iCs/>
          <w:i/>
        </w:rPr>
        <w:t xml:space="preserve">Ilustrasi.</w:t>
      </w:r>
      <w:r>
        <w:t xml:space="preserve"> </w:t>
      </w:r>
      <w:r>
        <w:t xml:space="preserve">Sebuah negara pengirim dengan kapasitas surveilans terbatas mungkin secara teknis terikat kewajiban IHR untuk melaporkan sinyal KLB, namun secara praktis tidak memiliki laboratorium yang mampu mengidentifikasi patogen secara cepat. Kesenjangan antara kewajiban hukum dan kapasitas teknis semacam ini adalah salah satu kritik paling sering diangkat terhadap efektivitas implementasi IHR secara global.</w:t>
      </w:r>
    </w:p>
    <w:bookmarkEnd w:id="32"/>
    <w:bookmarkStart w:id="33" w:name="ringkasan-poin-kunci-1"/>
    <w:p>
      <w:pPr>
        <w:pStyle w:val="Heading3"/>
      </w:pPr>
      <w:r>
        <w:t xml:space="preserve">Ringkasan Poin Kunci</w:t>
      </w:r>
    </w:p>
    <w:p>
      <w:pPr>
        <w:numPr>
          <w:ilvl w:val="0"/>
          <w:numId w:val="1004"/>
        </w:numPr>
        <w:pStyle w:val="Compact"/>
      </w:pPr>
      <w:r>
        <w:t xml:space="preserve">IHR WHO menetapkan kerangka kerja hukum internasional untuk respons kesehatan lintas batas, relevan signifikan bagi konteks haji.</w:t>
      </w:r>
    </w:p>
    <w:p>
      <w:pPr>
        <w:numPr>
          <w:ilvl w:val="0"/>
          <w:numId w:val="1004"/>
        </w:numPr>
        <w:pStyle w:val="Compact"/>
      </w:pPr>
      <w:r>
        <w:t xml:space="preserve">Mekanisme notifikasi IHR mewajibkan pelaporan kejadian kesehatan berpotensi PHEIC yang terdeteksi pada populasi jemaah.</w:t>
      </w:r>
    </w:p>
    <w:p>
      <w:pPr>
        <w:numPr>
          <w:ilvl w:val="0"/>
          <w:numId w:val="1004"/>
        </w:numPr>
        <w:pStyle w:val="Compact"/>
      </w:pPr>
      <w:r>
        <w:t xml:space="preserve">WHO menerbitkan rekomendasi kesehatan menjelang musim haji yang menjadi rujukan kebijakan Kemenkes, disesuaikan konteks nasional.</w:t>
      </w:r>
    </w:p>
    <w:p>
      <w:pPr>
        <w:numPr>
          <w:ilvl w:val="0"/>
          <w:numId w:val="1004"/>
        </w:numPr>
        <w:pStyle w:val="Compact"/>
      </w:pPr>
      <w:r>
        <w:t xml:space="preserve">Keterbatasan implementasi IHR terkait penegakan kepatuhan dan kapasitas surveilans menjadi topik kritik akademik yang relevan diteliti.</w:t>
      </w:r>
    </w:p>
    <w:bookmarkEnd w:id="33"/>
    <w:bookmarkStart w:id="34" w:name="pertanyaan-diskusilatihan-1"/>
    <w:p>
      <w:pPr>
        <w:pStyle w:val="Heading3"/>
      </w:pPr>
      <w:r>
        <w:t xml:space="preserve">Pertanyaan Diskusi/Latihan</w:t>
      </w:r>
    </w:p>
    <w:p>
      <w:pPr>
        <w:numPr>
          <w:ilvl w:val="0"/>
          <w:numId w:val="1005"/>
        </w:numPr>
        <w:pStyle w:val="Compact"/>
      </w:pPr>
      <w:r>
        <w:t xml:space="preserve">Jelaskan mekanisme notifikasi IHR dan relevansinya ketika terdeteksi sinyal KLB pada populasi jemaah haji.</w:t>
      </w:r>
    </w:p>
    <w:p>
      <w:pPr>
        <w:numPr>
          <w:ilvl w:val="0"/>
          <w:numId w:val="1005"/>
        </w:numPr>
        <w:pStyle w:val="Compact"/>
      </w:pPr>
      <w:r>
        <w:t xml:space="preserve">Diskusikan bagaimana rekomendasi kesehatan WHO menjelang musim haji diadaptasi ke dalam kebijakan nasional Kemenkes.</w:t>
      </w:r>
    </w:p>
    <w:p>
      <w:pPr>
        <w:numPr>
          <w:ilvl w:val="0"/>
          <w:numId w:val="1005"/>
        </w:numPr>
        <w:pStyle w:val="Compact"/>
      </w:pPr>
      <w:r>
        <w:t xml:space="preserve">Rumuskan satu pertanyaan riset yang mengevaluasi efektivitas implementasi IHR pada konteks kesehatan haji Indonesia.</w:t>
      </w:r>
    </w:p>
    <w:bookmarkEnd w:id="34"/>
    <w:bookmarkEnd w:id="35"/>
    <w:bookmarkStart w:id="42" w:name="X25a68a390f80c4a303eba1431b46a9c44a1bbc1"/>
    <w:p>
      <w:pPr>
        <w:pStyle w:val="Heading2"/>
      </w:pPr>
      <w:r>
        <w:t xml:space="preserve">Bab 3. Kebijakan Istithaah Kesehatan di Indonesia: Sejarah dan Perkembangan</w:t>
      </w:r>
    </w:p>
    <w:bookmarkStart w:id="36" w:name="evolusi-kebijakan-dari-masa-ke-masa"/>
    <w:p>
      <w:pPr>
        <w:pStyle w:val="Heading3"/>
      </w:pPr>
      <w:r>
        <w:t xml:space="preserve">3.1 Evolusi Kebijakan dari Masa ke Masa</w:t>
      </w:r>
    </w:p>
    <w:p>
      <w:pPr>
        <w:pStyle w:val="FirstParagraph"/>
      </w:pPr>
      <w:r>
        <w:rPr>
          <w:bCs/>
          <w:b/>
        </w:rPr>
        <w:t xml:space="preserve">Mengapa Ini Penting.</w:t>
      </w:r>
      <w:r>
        <w:t xml:space="preserve"> </w:t>
      </w:r>
      <w:r>
        <w:t xml:space="preserve">Memahami dari mana sebuah kebijakan berasal seringkali menjelaskan mengapa kebijakan itu berbentuk seperti sekarang — termasuk mengapa perubahan kebijakan baru (seperti Manasik Kesehatan 2027 pada Bab 5) tidak muncul dari ruang hampa, melainkan dari rangkaian evolusi panjang.</w:t>
      </w:r>
    </w:p>
    <w:p>
      <w:pPr>
        <w:pStyle w:val="BodyText"/>
      </w:pPr>
      <w:r>
        <w:t xml:space="preserve">Kebijakan istithaah kesehatan di Indonesia mengalami evolusi bertahap, dari pemeriksaan kesehatan yang pada masa awal lebih longgar dan administratif, menuju sistem penetapan istithaah yang semakin terstruktur dan terintegrasi dengan SISKOHAT sebagaimana dikenal saat ini. [VERIFIKASI SUMBER] Memahami evolusi historis ini penting bagi mahasiswa untuk menempatkan kebijakan Manasik Kesehatan 2027 (dibahas pada Bab 5) dalam konteks kesinambungan kebijakan, bukan sebagai kebijakan yang muncul tiba-tiba tanpa akar historis.</w:t>
      </w:r>
    </w:p>
    <w:p>
      <w:pPr>
        <w:pStyle w:val="BodyText"/>
      </w:pPr>
      <w:r>
        <w:rPr>
          <w:iCs/>
          <w:i/>
        </w:rPr>
        <w:t xml:space="preserve">Ilustrasi.</w:t>
      </w:r>
      <w:r>
        <w:t xml:space="preserve"> </w:t>
      </w:r>
      <w:r>
        <w:t xml:space="preserve">Seorang mahasiswa yang menganggap Manasik Kesehatan 2027 sebagai</w:t>
      </w:r>
      <w:r>
        <w:t xml:space="preserve"> </w:t>
      </w:r>
      <w:r>
        <w:t xml:space="preserve">“</w:t>
      </w:r>
      <w:r>
        <w:t xml:space="preserve">kebijakan baru yang tiba-tiba</w:t>
      </w:r>
      <w:r>
        <w:t xml:space="preserve">”</w:t>
      </w:r>
      <w:r>
        <w:t xml:space="preserve"> </w:t>
      </w:r>
      <w:r>
        <w:t xml:space="preserve">akan menulis analisis yang dangkal. Setelah mempelajari evolusi historisnya, ia menyadari kebijakan ini sebenarnya adalah puncak dari tren panjang pergeseran dari pendekatan administratif menuju berbasis risiko yang sudah berjalan bertahun-tahun — sebuah kerangka analisis yang jauh lebih kaya dan akurat.</w:t>
      </w:r>
    </w:p>
    <w:bookmarkEnd w:id="36"/>
    <w:bookmarkStart w:id="37" w:name="Xf8f1110e90664dd376a83163710e3de09c7f8e0"/>
    <w:p>
      <w:pPr>
        <w:pStyle w:val="Heading3"/>
      </w:pPr>
      <w:r>
        <w:t xml:space="preserve">3.2 Regulasi yang Mendasari Kebijakan Istithaah</w:t>
      </w:r>
    </w:p>
    <w:p>
      <w:pPr>
        <w:pStyle w:val="FirstParagraph"/>
      </w:pPr>
      <w:r>
        <w:t xml:space="preserve">Kebijakan istithaah kesehatan di Indonesia didasarkan pada kerangka regulasi yang melibatkan Undang-Undang Penyelenggaraan Ibadah Haji dan Umrah beserta peraturan turunannya, serta peraturan teknis Kemenkes yang menetapkan standar pemeriksaan dan kriteria penetapan istithaah. Mahasiswa yang menganalisis kebijakan ini perlu memahami hierarki regulasi tersebut untuk dapat menilai konsistensi implementasi kebijakan di tingkat operasional dengan mandat regulasi di tingkat lebih tinggi.</w:t>
      </w:r>
    </w:p>
    <w:bookmarkEnd w:id="37"/>
    <w:bookmarkStart w:id="38" w:name="X73e82ebe9e5a4161aed642e910a66f4402efddb"/>
    <w:p>
      <w:pPr>
        <w:pStyle w:val="Heading3"/>
      </w:pPr>
      <w:r>
        <w:t xml:space="preserve">3.3 Pergeseran Paradigma: dari Administratif ke Berbasis Risiko</w:t>
      </w:r>
    </w:p>
    <w:p>
      <w:pPr>
        <w:pStyle w:val="FirstParagraph"/>
      </w:pPr>
      <w:r>
        <w:t xml:space="preserve">Perkembangan kebijakan istithaah menunjukkan pergeseran paradigma dari pendekatan yang sebelumnya lebih administratif menuju pendekatan yang lebih berbasis risiko kesehatan individual, sejalan dengan berkembangnya pemahaman epidemiologi determinan risiko jemaah sebagaimana dibahas pada buku tematik A2. Pergeseran ini juga tercermin dalam semakin detailnya kategori penetapan istithaah, termasuk kategori pendampingan bagi jemaah disabilitas.</w:t>
      </w:r>
    </w:p>
    <w:bookmarkEnd w:id="38"/>
    <w:bookmarkStart w:id="39" w:name="tantangan-implementasi-di-tingkat-daerah"/>
    <w:p>
      <w:pPr>
        <w:pStyle w:val="Heading3"/>
      </w:pPr>
      <w:r>
        <w:t xml:space="preserve">3.4 Tantangan Implementasi di Tingkat Daerah</w:t>
      </w:r>
    </w:p>
    <w:p>
      <w:pPr>
        <w:pStyle w:val="FirstParagraph"/>
      </w:pPr>
      <w:r>
        <w:t xml:space="preserve">Meskipun kerangka kebijakan istithaah telah terstandardisasi secara nasional, implementasi di tingkat fasilitas kesehatan daerah menghadapi variasi kapasitas dan konsistensi penerapan kriteria, menciptakan potensi kesenjangan antara kebijakan yang dirancang dan praktik yang sesungguhnya terjadi di lapangan — sebuah celah riset evaluatif yang relevan bagi mahasiswa yang tertarik pada implementasi kebijakan kesehatan daerah.</w:t>
      </w:r>
    </w:p>
    <w:p>
      <w:pPr>
        <w:pStyle w:val="BodyText"/>
      </w:pPr>
      <w:r>
        <w:rPr>
          <w:iCs/>
          <w:i/>
        </w:rPr>
        <w:t xml:space="preserve">Ilustrasi.</w:t>
      </w:r>
      <w:r>
        <w:t xml:space="preserve"> </w:t>
      </w:r>
      <w:r>
        <w:t xml:space="preserve">Dua fasilitas kesehatan di provinsi berbeda menerapkan kriteria istithaah yang sama secara tertulis, namun satu fasilitas memiliki alat EKG lengkap sementara yang lain tidak. Akibatnya, penilaian</w:t>
      </w:r>
      <w:r>
        <w:t xml:space="preserve"> </w:t>
      </w:r>
      <w:r>
        <w:t xml:space="preserve">“</w:t>
      </w:r>
      <w:r>
        <w:t xml:space="preserve">istithaah dengan pendampingan</w:t>
      </w:r>
      <w:r>
        <w:t xml:space="preserve">”</w:t>
      </w:r>
      <w:r>
        <w:t xml:space="preserve"> </w:t>
      </w:r>
      <w:r>
        <w:t xml:space="preserve">bisa jadi lebih sering dijatuhkan di fasilitas yang kurang lengkap peralatannya — bukan karena kondisi jemaahnya benar-benar berbeda, melainkan karena keterbatasan alat deteksi.</w:t>
      </w:r>
    </w:p>
    <w:bookmarkEnd w:id="39"/>
    <w:bookmarkStart w:id="40" w:name="ringkasan-poin-kunci-2"/>
    <w:p>
      <w:pPr>
        <w:pStyle w:val="Heading3"/>
      </w:pPr>
      <w:r>
        <w:t xml:space="preserve">Ringkasan Poin Kunci</w:t>
      </w:r>
    </w:p>
    <w:p>
      <w:pPr>
        <w:numPr>
          <w:ilvl w:val="0"/>
          <w:numId w:val="1006"/>
        </w:numPr>
        <w:pStyle w:val="Compact"/>
      </w:pPr>
      <w:r>
        <w:t xml:space="preserve">Kebijakan istithaah kesehatan Indonesia berevolusi dari pendekatan administratif longgar menuju sistem yang terstruktur dan terintegrasi SISKOHAT.</w:t>
      </w:r>
    </w:p>
    <w:p>
      <w:pPr>
        <w:numPr>
          <w:ilvl w:val="0"/>
          <w:numId w:val="1006"/>
        </w:numPr>
        <w:pStyle w:val="Compact"/>
      </w:pPr>
      <w:r>
        <w:t xml:space="preserve">Kebijakan ini didasarkan pada hierarki regulasi mulai dari undang-undang hingga peraturan teknis Kemenkes.</w:t>
      </w:r>
    </w:p>
    <w:p>
      <w:pPr>
        <w:numPr>
          <w:ilvl w:val="0"/>
          <w:numId w:val="1006"/>
        </w:numPr>
        <w:pStyle w:val="Compact"/>
      </w:pPr>
      <w:r>
        <w:t xml:space="preserve">Pergeseran paradigma dari administratif ke berbasis risiko tercermin dalam semakin detailnya kategori penetapan istithaah.</w:t>
      </w:r>
    </w:p>
    <w:p>
      <w:pPr>
        <w:numPr>
          <w:ilvl w:val="0"/>
          <w:numId w:val="1006"/>
        </w:numPr>
        <w:pStyle w:val="Compact"/>
      </w:pPr>
      <w:r>
        <w:t xml:space="preserve">Variasi kapasitas implementasi di tingkat daerah menciptakan celah antara kebijakan yang dirancang dan praktik lapangan.</w:t>
      </w:r>
    </w:p>
    <w:bookmarkEnd w:id="40"/>
    <w:bookmarkStart w:id="41" w:name="pertanyaan-diskusilatihan-2"/>
    <w:p>
      <w:pPr>
        <w:pStyle w:val="Heading3"/>
      </w:pPr>
      <w:r>
        <w:t xml:space="preserve">Pertanyaan Diskusi/Latihan</w:t>
      </w:r>
    </w:p>
    <w:p>
      <w:pPr>
        <w:numPr>
          <w:ilvl w:val="0"/>
          <w:numId w:val="1007"/>
        </w:numPr>
        <w:pStyle w:val="Compact"/>
      </w:pPr>
      <w:r>
        <w:t xml:space="preserve">Jelaskan mengapa memahami evolusi historis kebijakan istithaah penting sebelum menganalisis kebijakan Manasik Kesehatan 2027.</w:t>
      </w:r>
    </w:p>
    <w:p>
      <w:pPr>
        <w:numPr>
          <w:ilvl w:val="0"/>
          <w:numId w:val="1007"/>
        </w:numPr>
        <w:pStyle w:val="Compact"/>
      </w:pPr>
      <w:r>
        <w:t xml:space="preserve">Petakan hierarki regulasi yang mendasari kebijakan istithaah kesehatan di Indonesia dari tingkat undang-undang hingga peraturan teknis.</w:t>
      </w:r>
    </w:p>
    <w:p>
      <w:pPr>
        <w:numPr>
          <w:ilvl w:val="0"/>
          <w:numId w:val="1007"/>
        </w:numPr>
        <w:pStyle w:val="Compact"/>
      </w:pPr>
      <w:r>
        <w:t xml:space="preserve">Rancang kerangka riset evaluatif untuk mengukur kesenjangan implementasi kriteria istithaah antar-fasilitas kesehatan daerah.</w:t>
      </w:r>
    </w:p>
    <w:bookmarkEnd w:id="41"/>
    <w:bookmarkEnd w:id="42"/>
    <w:bookmarkStart w:id="49" w:name="X49709d12a38bd901e1fc79697453aa355f20b3b"/>
    <w:p>
      <w:pPr>
        <w:pStyle w:val="Heading2"/>
      </w:pPr>
      <w:r>
        <w:t xml:space="preserve">Bab 4. Koordinasi Lintas-Kementerian: Kemenhaj, Kemenkes, dan Kemenlu</w:t>
      </w:r>
    </w:p>
    <w:bookmarkStart w:id="43" w:name="Xa1d272cbc62f7865abfc8fcef8f0b2a4231dff7"/>
    <w:p>
      <w:pPr>
        <w:pStyle w:val="Heading3"/>
      </w:pPr>
      <w:r>
        <w:t xml:space="preserve">4.1 Peta Kewenangan Masing-Masing Kementerian</w:t>
      </w:r>
    </w:p>
    <w:p>
      <w:pPr>
        <w:pStyle w:val="FirstParagraph"/>
      </w:pPr>
      <w:r>
        <w:rPr>
          <w:bCs/>
          <w:b/>
        </w:rPr>
        <w:t xml:space="preserve">Mengapa Ini Penting.</w:t>
      </w:r>
      <w:r>
        <w:t xml:space="preserve"> </w:t>
      </w:r>
      <w:r>
        <w:t xml:space="preserve">Rekomendasi kebijakan yang tidak mempertimbangkan peta kewenangan ini berisiko</w:t>
      </w:r>
      <w:r>
        <w:t xml:space="preserve"> </w:t>
      </w:r>
      <w:r>
        <w:t xml:space="preserve">“</w:t>
      </w:r>
      <w:r>
        <w:t xml:space="preserve">benar secara substansi, tapi tidak actionable</w:t>
      </w:r>
      <w:r>
        <w:t xml:space="preserve">”</w:t>
      </w:r>
      <w:r>
        <w:t xml:space="preserve"> </w:t>
      </w:r>
      <w:r>
        <w:t xml:space="preserve">— dan kebijakan yang tidak actionable, betapapun cerdasnya, tidak akan pernah benar-benar mengubah apa pun di lapangan.</w:t>
      </w:r>
    </w:p>
    <w:p>
      <w:pPr>
        <w:pStyle w:val="BodyText"/>
      </w:pPr>
      <w:r>
        <w:t xml:space="preserve">Koordinasi kesehatan haji yang efektif menuntut kejelasan pembagian kewenangan antara Kemenhaj (regulator penyelenggaraan haji, termasuk kebijakan Manasik Kesehatan), Kemenkes (otoritas teknis-medis, standar pemeriksaan dan istithaah, pengelolaan TKHI/KKHI), dan Kementerian Luar Negeri (diplomasi kesehatan dan koordinasi dengan otoritas Arab Saudi serta perwakilan Indonesia di luar negeri). Kejelasan peta kewenangan ini menjadi dasar analisis ketika mengevaluasi efektivitas atau hambatan koordinasi antar-lembaga.</w:t>
      </w:r>
    </w:p>
    <w:bookmarkEnd w:id="43"/>
    <w:bookmarkStart w:id="44" w:name="mekanisme-koordinasi-formal-dan-informal"/>
    <w:p>
      <w:pPr>
        <w:pStyle w:val="Heading3"/>
      </w:pPr>
      <w:r>
        <w:t xml:space="preserve">4.2 Mekanisme Koordinasi Formal dan Informal</w:t>
      </w:r>
    </w:p>
    <w:p>
      <w:pPr>
        <w:pStyle w:val="FirstParagraph"/>
      </w:pPr>
      <w:r>
        <w:t xml:space="preserve">Koordinasi antar-kementerian umumnya berjalan melalui mekanisme formal seperti rapat koordinasi terjadwal dan nota kesepahaman antar-lembaga, maupun mekanisme informal melalui komunikasi langsung antar-pejabat teknis yang seringkali lebih responsif dalam menangani isu mendesak menjelang musim haji. Kajian tentang efektivitas kedua jenis mekanisme koordinasi ini merupakan area riset kebijakan yang relatif belum banyak dieksplorasi dalam literatur kedokteran haji Indonesia.</w:t>
      </w:r>
    </w:p>
    <w:p>
      <w:pPr>
        <w:pStyle w:val="BodyText"/>
      </w:pPr>
      <w:r>
        <w:rPr>
          <w:iCs/>
          <w:i/>
        </w:rPr>
        <w:t xml:space="preserve">Ilustrasi.</w:t>
      </w:r>
      <w:r>
        <w:t xml:space="preserve"> </w:t>
      </w:r>
      <w:r>
        <w:t xml:space="preserve">Ketika Arab Saudi mengumumkan perubahan mendadak persyaratan kesehatan tiga minggu sebelum musim haji, rapat koordinasi formal terjadwal bulanan mungkin sudah terlambat untuk merespons secara tepat waktu — dan justru komunikasi informal langsung antar-pejabat teknis Kemenkes dan Kemenlu yang memungkinkan respons cepat disusun dalam hitungan hari.</w:t>
      </w:r>
    </w:p>
    <w:bookmarkEnd w:id="44"/>
    <w:bookmarkStart w:id="45" w:name="titik-gesekan-yang-umum-terjadi"/>
    <w:p>
      <w:pPr>
        <w:pStyle w:val="Heading3"/>
      </w:pPr>
      <w:r>
        <w:t xml:space="preserve">4.3 Titik Gesekan yang Umum Terjadi</w:t>
      </w:r>
    </w:p>
    <w:p>
      <w:pPr>
        <w:pStyle w:val="FirstParagraph"/>
      </w:pPr>
      <w:r>
        <w:t xml:space="preserve">Titik gesekan koordinasi yang umum ditemukan dalam evaluasi kebijakan meliputi: perbedaan prioritas antar-kementerian (misalnya prioritas kuota keberangkatan versus prioritas kesehatan pada Kemenhaj dan Kemenkes), keterlambatan pertukaran informasi kebijakan Arab Saudi yang harus melalui jalur diplomatik Kemenlu sebelum sampai ke Kemenkes, serta tumpang tindih kewenangan pada isu-isu yang berada di irisan tanggung jawab lebih dari satu kementerian.</w:t>
      </w:r>
    </w:p>
    <w:bookmarkEnd w:id="45"/>
    <w:bookmarkStart w:id="46" w:name="rekomendasi-penguatan-koordinasi"/>
    <w:p>
      <w:pPr>
        <w:pStyle w:val="Heading3"/>
      </w:pPr>
      <w:r>
        <w:t xml:space="preserve">4.4 Rekomendasi Penguatan Koordinasi</w:t>
      </w:r>
    </w:p>
    <w:p>
      <w:pPr>
        <w:pStyle w:val="FirstParagraph"/>
      </w:pPr>
      <w:r>
        <w:t xml:space="preserve">Penguatan koordinasi lintas-kementerian dapat diarahkan pada pengembangan sistem informasi bersama yang dapat diakses ketiga kementerian secara real-time, penetapan protokol eskalasi yang jelas untuk isu-isu mendesak, serta evaluasi berkala terhadap efektivitas mekanisme koordinasi yang ada — rekomendasi yang dapat menjadi arah tesis kebijakan yang applicable bagi mahasiswa yang tertarik pada topik tata kelola lintas-lembaga.</w:t>
      </w:r>
    </w:p>
    <w:bookmarkEnd w:id="46"/>
    <w:bookmarkStart w:id="47" w:name="ringkasan-poin-kunci-3"/>
    <w:p>
      <w:pPr>
        <w:pStyle w:val="Heading3"/>
      </w:pPr>
      <w:r>
        <w:t xml:space="preserve">Ringkasan Poin Kunci</w:t>
      </w:r>
    </w:p>
    <w:p>
      <w:pPr>
        <w:numPr>
          <w:ilvl w:val="0"/>
          <w:numId w:val="1008"/>
        </w:numPr>
        <w:pStyle w:val="Compact"/>
      </w:pPr>
      <w:r>
        <w:t xml:space="preserve">Koordinasi kesehatan haji menuntut kejelasan pembagian kewenangan antara Kemenhaj, Kemenkes, dan Kemenlu.</w:t>
      </w:r>
    </w:p>
    <w:p>
      <w:pPr>
        <w:numPr>
          <w:ilvl w:val="0"/>
          <w:numId w:val="1008"/>
        </w:numPr>
        <w:pStyle w:val="Compact"/>
      </w:pPr>
      <w:r>
        <w:t xml:space="preserve">Koordinasi berjalan melalui mekanisme formal dan informal, dengan efektivitas yang relatif belum banyak diteliti.</w:t>
      </w:r>
    </w:p>
    <w:p>
      <w:pPr>
        <w:numPr>
          <w:ilvl w:val="0"/>
          <w:numId w:val="1008"/>
        </w:numPr>
        <w:pStyle w:val="Compact"/>
      </w:pPr>
      <w:r>
        <w:t xml:space="preserve">Titik gesekan umum meliputi perbedaan prioritas antar-kementerian dan keterlambatan pertukaran informasi lintas jalur diplomatik.</w:t>
      </w:r>
    </w:p>
    <w:p>
      <w:pPr>
        <w:numPr>
          <w:ilvl w:val="0"/>
          <w:numId w:val="1008"/>
        </w:numPr>
        <w:pStyle w:val="Compact"/>
      </w:pPr>
      <w:r>
        <w:t xml:space="preserve">Penguatan koordinasi dapat diarahkan pada sistem informasi bersama dan protokol eskalasi yang jelas.</w:t>
      </w:r>
    </w:p>
    <w:bookmarkEnd w:id="47"/>
    <w:bookmarkStart w:id="48" w:name="pertanyaan-diskusilatihan-3"/>
    <w:p>
      <w:pPr>
        <w:pStyle w:val="Heading3"/>
      </w:pPr>
      <w:r>
        <w:t xml:space="preserve">Pertanyaan Diskusi/Latihan</w:t>
      </w:r>
    </w:p>
    <w:p>
      <w:pPr>
        <w:numPr>
          <w:ilvl w:val="0"/>
          <w:numId w:val="1009"/>
        </w:numPr>
        <w:pStyle w:val="Compact"/>
      </w:pPr>
      <w:r>
        <w:t xml:space="preserve">Petakan potensi titik gesekan koordinasi antara Kemenhaj, Kemenkes, dan Kemenlu dalam skenario perubahan mendadak kebijakan kesehatan Arab Saudi menjelang musim haji.</w:t>
      </w:r>
    </w:p>
    <w:p>
      <w:pPr>
        <w:numPr>
          <w:ilvl w:val="0"/>
          <w:numId w:val="1009"/>
        </w:numPr>
        <w:pStyle w:val="Compact"/>
      </w:pPr>
      <w:r>
        <w:t xml:space="preserve">Diskusikan kelebihan dan kekurangan mekanisme koordinasi formal dibandingkan informal dalam menangani isu mendesak.</w:t>
      </w:r>
    </w:p>
    <w:p>
      <w:pPr>
        <w:numPr>
          <w:ilvl w:val="0"/>
          <w:numId w:val="1009"/>
        </w:numPr>
        <w:pStyle w:val="Compact"/>
      </w:pPr>
      <w:r>
        <w:t xml:space="preserve">Rancang kerangka evaluasi efektivitas koordinasi lintas-kementerian sebagai topik tesis kebijakan.</w:t>
      </w:r>
      <w:r>
        <w:t xml:space="preserve"> </w:t>
      </w:r>
    </w:p>
    <w:bookmarkEnd w:id="48"/>
    <w:bookmarkEnd w:id="49"/>
    <w:bookmarkStart w:id="56" w:name="X24cc7a7b5d27c8533027b27a39d5dde337d5b40"/>
    <w:p>
      <w:pPr>
        <w:pStyle w:val="Heading2"/>
      </w:pPr>
      <w:r>
        <w:t xml:space="preserve">Bab 5. Analisis Kebijakan Manasik Kesehatan 2027 sebagai Studi Kasus</w:t>
      </w:r>
    </w:p>
    <w:bookmarkStart w:id="50" w:name="X18ddb4cbb6bf2d52cd68e2ae9fe54bb54a6c507"/>
    <w:p>
      <w:pPr>
        <w:pStyle w:val="Heading3"/>
      </w:pPr>
      <w:r>
        <w:t xml:space="preserve">5.1 Latar Belakang Kebijakan Manasik Kesehatan 2027</w:t>
      </w:r>
    </w:p>
    <w:p>
      <w:pPr>
        <w:pStyle w:val="FirstParagraph"/>
      </w:pPr>
      <w:r>
        <w:rPr>
          <w:bCs/>
          <w:b/>
        </w:rPr>
        <w:t xml:space="preserve">Mengapa Ini Penting.</w:t>
      </w:r>
      <w:r>
        <w:t xml:space="preserve"> </w:t>
      </w:r>
      <w:r>
        <w:t xml:space="preserve">Studi kasus ini adalah tempat mahasiswa berlatih menerapkan seluruh kerangka analisis kebijakan yang telah dibangun di Bab 1-4 pada satu kebijakan nyata dan aktual — latihan yang paling mendekati apa yang akan mahasiswa lakukan sesungguhnya saat menulis tesis kebijakan.</w:t>
      </w:r>
    </w:p>
    <w:p>
      <w:pPr>
        <w:pStyle w:val="BodyText"/>
      </w:pPr>
      <w:r>
        <w:t xml:space="preserve">Kebijakan Manasik Kesehatan Haji 2027 menegaskan kesiapan fisik sebagai syarat keberangkatan yang setara pentingnya dengan kesiapan finansial dan administratif, merepresentasikan pergeseran penekanan kebijakan dibandingkan periode sebelumnya. [VERIFIKASI SUMBER] Bab ini menggunakan kebijakan tersebut sebagai studi kasus untuk melatih keterampilan analisis kebijakan kesehatan secara terstruktur bagi mahasiswa.</w:t>
      </w:r>
    </w:p>
    <w:bookmarkEnd w:id="50"/>
    <w:bookmarkStart w:id="51" w:name="Xa4aaa7b37a5d19be0f25d3d5b4f426ffdd6d504"/>
    <w:p>
      <w:pPr>
        <w:pStyle w:val="Heading3"/>
      </w:pPr>
      <w:r>
        <w:t xml:space="preserve">5.2 Kerangka Analisis Kebijakan yang Diterapkan</w:t>
      </w:r>
    </w:p>
    <w:p>
      <w:pPr>
        <w:pStyle w:val="FirstParagraph"/>
      </w:pPr>
      <w:r>
        <w:t xml:space="preserve">Analisis kebijakan Manasik Kesehatan 2027 dapat dilakukan menggunakan kerangka analisis kebijakan standar: analisis masalah yang mendasari kebijakan (mengapa kesiapan fisik dianggap perlu ditekankan), analisis alternatif kebijakan yang mungkin dipertimbangkan, analisis proses formulasi dan aktor yang terlibat, serta analisis implementasi dan evaluasi dampak awal kebijakan tersebut terhadap kesiapan jemaah.</w:t>
      </w:r>
    </w:p>
    <w:p>
      <w:pPr>
        <w:pStyle w:val="BodyText"/>
      </w:pPr>
      <w:r>
        <w:rPr>
          <w:iCs/>
          <w:i/>
        </w:rPr>
        <w:t xml:space="preserve">Ilustrasi.</w:t>
      </w:r>
      <w:r>
        <w:t xml:space="preserve"> </w:t>
      </w:r>
      <w:r>
        <w:t xml:space="preserve">Menerapkan kerangka ini secara berurutan: mahasiswa pertama-tama bertanya</w:t>
      </w:r>
      <w:r>
        <w:t xml:space="preserve"> </w:t>
      </w:r>
      <w:r>
        <w:t xml:space="preserve">“</w:t>
      </w:r>
      <w:r>
        <w:t xml:space="preserve">masalah apa yang mendorong kebijakan ini?</w:t>
      </w:r>
      <w:r>
        <w:t xml:space="preserve">”</w:t>
      </w:r>
      <w:r>
        <w:t xml:space="preserve"> </w:t>
      </w:r>
      <w:r>
        <w:t xml:space="preserve">(misalnya tingginya angka heat exhaustion pada jemaah yang tidak siap fisik), lalu</w:t>
      </w:r>
      <w:r>
        <w:t xml:space="preserve"> </w:t>
      </w:r>
      <w:r>
        <w:t xml:space="preserve">“</w:t>
      </w:r>
      <w:r>
        <w:t xml:space="preserve">alternatif apa yang mungkin dipertimbangkan selain penekanan Manasik Kesehatan?</w:t>
      </w:r>
      <w:r>
        <w:t xml:space="preserve">”</w:t>
      </w:r>
      <w:r>
        <w:t xml:space="preserve"> </w:t>
      </w:r>
      <w:r>
        <w:t xml:space="preserve">(misalnya pembatasan kuota jemaah berisiko tinggi), sebelum akhirnya menganalisis mengapa opsi Manasik Kesehatan yang dipilih dan bagaimana proses implementasinya berjalan di lapangan.</w:t>
      </w:r>
    </w:p>
    <w:bookmarkEnd w:id="51"/>
    <w:bookmarkStart w:id="52" w:name="analisis-stakeholder"/>
    <w:p>
      <w:pPr>
        <w:pStyle w:val="Heading3"/>
      </w:pPr>
      <w:r>
        <w:t xml:space="preserve">5.3 Analisis Stakeholder</w:t>
      </w:r>
    </w:p>
    <w:p>
      <w:pPr>
        <w:pStyle w:val="FirstParagraph"/>
      </w:pPr>
      <w:r>
        <w:t xml:space="preserve">Kebijakan ini melibatkan beragam pemangku kepentingan dengan kepentingan yang mungkin berbeda: calon jemaah dan keluarga (kepentingan terhadap kepastian keberangkatan), KBIHU (kepentingan terhadap kemudahan penyelenggaraan bimbingan), fasilitas kesehatan primer (kepentingan terhadap kapasitas pelaksanaan pemeriksaan), serta Kemenhaj dan Kemenkes (kepentingan terhadap keberhasilan kebijakan dan keselamatan jemaah). Analisis stakeholder yang cermat membantu mahasiswa memahami dinamika penerimaan dan resistensi terhadap kebijakan di lapangan.</w:t>
      </w:r>
    </w:p>
    <w:p>
      <w:pPr>
        <w:pStyle w:val="BodyText"/>
      </w:pPr>
      <w:r>
        <w:rPr>
          <w:iCs/>
          <w:i/>
        </w:rPr>
        <w:t xml:space="preserve">Ilustrasi.</w:t>
      </w:r>
      <w:r>
        <w:t xml:space="preserve"> </w:t>
      </w:r>
      <w:r>
        <w:t xml:space="preserve">Seorang calon jemaah yang telah menunggu 15 tahun mungkin memandang penekanan kesiapan fisik baru ini sebagai ancaman tambahan terhadap kepastian keberangkatannya, sementara Kemenkes memandangnya sebagai langkah perlindungan yang perlu. Ketegangan kepentingan semacam inilah yang perlu dipetakan mahasiswa untuk memahami mengapa implementasi kebijakan di lapangan tidak selalu mulus meski niatnya baik.</w:t>
      </w:r>
    </w:p>
    <w:bookmarkEnd w:id="52"/>
    <w:bookmarkStart w:id="53" w:name="evaluasi-awal-dan-arah-riset-lanjutan"/>
    <w:p>
      <w:pPr>
        <w:pStyle w:val="Heading3"/>
      </w:pPr>
      <w:r>
        <w:t xml:space="preserve">5.4 Evaluasi Awal dan Arah Riset Lanjutan</w:t>
      </w:r>
    </w:p>
    <w:p>
      <w:pPr>
        <w:pStyle w:val="FirstParagraph"/>
      </w:pPr>
      <w:r>
        <w:t xml:space="preserve">Evaluasi awal terhadap kebijakan yang relatif baru ini idealnya berfokus pada indikator proses (misalnya tingkat partisipasi Manasik Kesehatan, kepatuhan pelaksanaan pemeriksaan sesuai standar baru) sebelum indikator dampak jangka panjang (perubahan angka morbiditas/mortalitas) dapat dinilai secara meyakinkan, mengingat kebijakan baru memerlukan waktu untuk menunjukkan dampak yang terukur secara epidemiologis. Mahasiswa yang tertarik pada evaluasi kebijakan ini dapat merujuk pada metodologi evaluasi program yang diperdalam pada buku tematik A4.</w:t>
      </w:r>
    </w:p>
    <w:bookmarkEnd w:id="53"/>
    <w:bookmarkStart w:id="54" w:name="ringkasan-poin-kunci-4"/>
    <w:p>
      <w:pPr>
        <w:pStyle w:val="Heading3"/>
      </w:pPr>
      <w:r>
        <w:t xml:space="preserve">Ringkasan Poin Kunci</w:t>
      </w:r>
    </w:p>
    <w:p>
      <w:pPr>
        <w:numPr>
          <w:ilvl w:val="0"/>
          <w:numId w:val="1010"/>
        </w:numPr>
        <w:pStyle w:val="Compact"/>
      </w:pPr>
      <w:r>
        <w:t xml:space="preserve">Kebijakan Manasik Kesehatan 2027 merepresentasikan pergeseran penekanan menuju kesetaraan kesiapan fisik dengan kesiapan finansial-administratif.</w:t>
      </w:r>
    </w:p>
    <w:p>
      <w:pPr>
        <w:numPr>
          <w:ilvl w:val="0"/>
          <w:numId w:val="1010"/>
        </w:numPr>
        <w:pStyle w:val="Compact"/>
      </w:pPr>
      <w:r>
        <w:t xml:space="preserve">Analisis kebijakan mencakup analisis masalah, alternatif, proses formulasi, dan implementasi-dampak.</w:t>
      </w:r>
    </w:p>
    <w:p>
      <w:pPr>
        <w:numPr>
          <w:ilvl w:val="0"/>
          <w:numId w:val="1010"/>
        </w:numPr>
        <w:pStyle w:val="Compact"/>
      </w:pPr>
      <w:r>
        <w:t xml:space="preserve">Analisis stakeholder membantu memahami dinamika penerimaan dan resistensi kebijakan di berbagai level pemangku kepentingan.</w:t>
      </w:r>
    </w:p>
    <w:p>
      <w:pPr>
        <w:numPr>
          <w:ilvl w:val="0"/>
          <w:numId w:val="1010"/>
        </w:numPr>
        <w:pStyle w:val="Compact"/>
      </w:pPr>
      <w:r>
        <w:t xml:space="preserve">Evaluasi awal idealnya berfokus pada indikator proses sebelum indikator dampak jangka panjang dapat dinilai meyakinkan.</w:t>
      </w:r>
    </w:p>
    <w:bookmarkEnd w:id="54"/>
    <w:bookmarkStart w:id="55" w:name="pertanyaan-diskusilatihan-4"/>
    <w:p>
      <w:pPr>
        <w:pStyle w:val="Heading3"/>
      </w:pPr>
      <w:r>
        <w:t xml:space="preserve">Pertanyaan Diskusi/Latihan</w:t>
      </w:r>
    </w:p>
    <w:p>
      <w:pPr>
        <w:numPr>
          <w:ilvl w:val="0"/>
          <w:numId w:val="1011"/>
        </w:numPr>
        <w:pStyle w:val="Compact"/>
      </w:pPr>
      <w:r>
        <w:t xml:space="preserve">Terapkan kerangka analisis kebijakan (masalah, alternatif, proses, implementasi) pada kebijakan Manasik Kesehatan 2027 secara terstruktur.</w:t>
      </w:r>
    </w:p>
    <w:p>
      <w:pPr>
        <w:numPr>
          <w:ilvl w:val="0"/>
          <w:numId w:val="1011"/>
        </w:numPr>
        <w:pStyle w:val="Compact"/>
      </w:pPr>
      <w:r>
        <w:t xml:space="preserve">Petakan kepentingan masing-masing stakeholder (jemaah, KBIHU, fasilitas kesehatan primer, Kemenhaj/Kemenkes) terhadap kebijakan ini.</w:t>
      </w:r>
    </w:p>
    <w:p>
      <w:pPr>
        <w:numPr>
          <w:ilvl w:val="0"/>
          <w:numId w:val="1011"/>
        </w:numPr>
        <w:pStyle w:val="Compact"/>
      </w:pPr>
      <w:r>
        <w:t xml:space="preserve">Rancang indikator proses yang dapat digunakan untuk evaluasi awal implementasi kebijakan Manasik Kesehatan 2027.</w:t>
      </w:r>
    </w:p>
    <w:bookmarkEnd w:id="55"/>
    <w:bookmarkEnd w:id="56"/>
    <w:bookmarkStart w:id="63" w:name="X048b0679a2b584d4f6008fe6520ca42b8592107"/>
    <w:p>
      <w:pPr>
        <w:pStyle w:val="Heading2"/>
      </w:pPr>
      <w:r>
        <w:t xml:space="preserve">Bab 6. Perbandingan Kebijakan Kesehatan Haji Antar-Negara Pengirim Jemaah</w:t>
      </w:r>
    </w:p>
    <w:bookmarkStart w:id="57" w:name="rasional-studi-perbandingan-kebijakan"/>
    <w:p>
      <w:pPr>
        <w:pStyle w:val="Heading3"/>
      </w:pPr>
      <w:r>
        <w:t xml:space="preserve">6.1 Rasional Studi Perbandingan Kebijakan</w:t>
      </w:r>
    </w:p>
    <w:p>
      <w:pPr>
        <w:pStyle w:val="FirstParagraph"/>
      </w:pPr>
      <w:r>
        <w:rPr>
          <w:bCs/>
          <w:b/>
        </w:rPr>
        <w:t xml:space="preserve">Mengapa Ini Penting.</w:t>
      </w:r>
      <w:r>
        <w:t xml:space="preserve"> </w:t>
      </w:r>
      <w:r>
        <w:t xml:space="preserve">Terlalu sering, evaluasi kebijakan Indonesia dilakukan secara terisolasi seolah Indonesia satu-satunya negara yang menghadapi tantangan ini. Bab ini mengajak mahasiswa keluar dari kerangka pikir tersebut dan melihat Indonesia sebagai satu dari puluhan negara pengirim yang menghadapi tantangan serupa dengan caranya masing-masing.</w:t>
      </w:r>
    </w:p>
    <w:p>
      <w:pPr>
        <w:pStyle w:val="BodyText"/>
      </w:pPr>
      <w:r>
        <w:t xml:space="preserve">Studi perbandingan kebijakan kesehatan haji antar-negara pengirim (misalnya Indonesia, Malaysia, Pakistan, negara-negara Afrika Utara) memberikan wawasan berharga tentang berbagai pendekatan kebijakan yang mungkin diterapkan untuk tantangan kesehatan yang serupa, sekaligus membantu mengidentifikasi praktik baik (best practice) yang berpotensi diadaptasi bagi konteks Indonesia.</w:t>
      </w:r>
    </w:p>
    <w:bookmarkEnd w:id="57"/>
    <w:bookmarkStart w:id="58" w:name="dimensi-perbandingan-yang-relevan"/>
    <w:p>
      <w:pPr>
        <w:pStyle w:val="Heading3"/>
      </w:pPr>
      <w:r>
        <w:t xml:space="preserve">6.2 Dimensi Perbandingan yang Relevan</w:t>
      </w:r>
    </w:p>
    <w:p>
      <w:pPr>
        <w:pStyle w:val="FirstParagraph"/>
      </w:pPr>
      <w:r>
        <w:t xml:space="preserve">Perbandingan kebijakan dapat dilakukan pada beberapa dimensi: kriteria dan prosedur penetapan istithaah kesehatan, kapasitas dan struktur tim kesehatan pendamping jemaah (setara TKHI), sistem rujukan kesehatan di Arab Saudi, serta program edukasi kesehatan pra-keberangkatan setara Manasik Kesehatan. Perbandingan yang cermat harus mempertimbangkan perbedaan konteks sistem kesehatan nasional masing-masing negara, bukan sekadar membandingkan kebijakan secara dangkal tanpa memperhitungkan konteks struktural yang mendasarinya.</w:t>
      </w:r>
    </w:p>
    <w:p>
      <w:pPr>
        <w:pStyle w:val="BodyText"/>
      </w:pPr>
      <w:r>
        <w:rPr>
          <w:iCs/>
          <w:i/>
        </w:rPr>
        <w:t xml:space="preserve">Ilustrasi.</w:t>
      </w:r>
      <w:r>
        <w:t xml:space="preserve"> </w:t>
      </w:r>
      <w:r>
        <w:t xml:space="preserve">Membandingkan</w:t>
      </w:r>
      <w:r>
        <w:t xml:space="preserve"> </w:t>
      </w:r>
      <w:r>
        <w:t xml:space="preserve">“</w:t>
      </w:r>
      <w:r>
        <w:t xml:space="preserve">rasio tim kesehatan pendamping per jemaah</w:t>
      </w:r>
      <w:r>
        <w:t xml:space="preserve">”</w:t>
      </w:r>
      <w:r>
        <w:t xml:space="preserve"> </w:t>
      </w:r>
      <w:r>
        <w:t xml:space="preserve">Indonesia dengan Malaysia tanpa mempertimbangkan bahwa Malaysia mengirim jemaah dalam jumlah jauh lebih kecil dengan sistem kesehatan nasional yang berbeda struktur, berisiko menghasilkan kesimpulan yang menyesatkan — perbandingan yang baik harus menyertakan konteks struktural semacam ini.</w:t>
      </w:r>
    </w:p>
    <w:bookmarkEnd w:id="58"/>
    <w:bookmarkStart w:id="59" w:name="tantangan-metodologis-studi-perbandingan"/>
    <w:p>
      <w:pPr>
        <w:pStyle w:val="Heading3"/>
      </w:pPr>
      <w:r>
        <w:t xml:space="preserve">6.3 Tantangan Metodologis Studi Perbandingan</w:t>
      </w:r>
    </w:p>
    <w:p>
      <w:pPr>
        <w:pStyle w:val="FirstParagraph"/>
      </w:pPr>
      <w:r>
        <w:t xml:space="preserve">Studi perbandingan kebijakan lintas negara menghadapi tantangan metodologis berupa keterbatasan akses data kebijakan resmi negara lain, perbedaan bahasa dan istilah teknis, serta kesulitan menetapkan ukuran keberhasilan kebijakan yang benar-benar dapat diperbandingkan secara adil antar-negara dengan kapasitas sistem kesehatan yang berbeda jauh.</w:t>
      </w:r>
    </w:p>
    <w:bookmarkEnd w:id="59"/>
    <w:bookmarkStart w:id="60" w:name="pembelajaran-bagi-kebijakan-indonesia"/>
    <w:p>
      <w:pPr>
        <w:pStyle w:val="Heading3"/>
      </w:pPr>
      <w:r>
        <w:t xml:space="preserve">6.4 Pembelajaran bagi Kebijakan Indonesia</w:t>
      </w:r>
    </w:p>
    <w:p>
      <w:pPr>
        <w:pStyle w:val="FirstParagraph"/>
      </w:pPr>
      <w:r>
        <w:t xml:space="preserve">Meski terdapat tantangan metodologis, studi perbandingan yang dilakukan dengan cermat dapat menghasilkan rekomendasi pembelajaran kebijakan yang berharga bagi Indonesia — misalnya mengenai inovasi sistem informasi kesehatan haji negara lain, atau pendekatan edukasi kesehatan pra-keberangkatan yang terbukti efektif meningkatkan kepatuhan jemaah di negara pengirim lain.</w:t>
      </w:r>
    </w:p>
    <w:p>
      <w:pPr>
        <w:pStyle w:val="BodyText"/>
      </w:pPr>
      <w:r>
        <w:rPr>
          <w:iCs/>
          <w:i/>
        </w:rPr>
        <w:t xml:space="preserve">Ilustrasi.</w:t>
      </w:r>
      <w:r>
        <w:t xml:space="preserve"> </w:t>
      </w:r>
      <w:r>
        <w:t xml:space="preserve">Seorang mahasiswa menemukan bahwa sebuah negara pengirim lain menerapkan sistem pengingat digital otomatis untuk edukasi kesehatan pra-keberangkatan, dengan tingkat partisipasi yang lebih tinggi dibanding metode ceramah konvensional yang masih dominan di Indonesia. Temuan pembanding semacam ini dapat menjadi dasar rekomendasi inovasi bagi Manasik Kesehatan Indonesia ke depan.</w:t>
      </w:r>
    </w:p>
    <w:bookmarkEnd w:id="60"/>
    <w:bookmarkStart w:id="61" w:name="ringkasan-poin-kunci-5"/>
    <w:p>
      <w:pPr>
        <w:pStyle w:val="Heading3"/>
      </w:pPr>
      <w:r>
        <w:t xml:space="preserve">Ringkasan Poin Kunci</w:t>
      </w:r>
    </w:p>
    <w:p>
      <w:pPr>
        <w:numPr>
          <w:ilvl w:val="0"/>
          <w:numId w:val="1012"/>
        </w:numPr>
        <w:pStyle w:val="Compact"/>
      </w:pPr>
      <w:r>
        <w:t xml:space="preserve">Studi perbandingan kebijakan lintas negara membantu mengidentifikasi praktik baik yang berpotensi diadaptasi bagi konteks Indonesia.</w:t>
      </w:r>
    </w:p>
    <w:p>
      <w:pPr>
        <w:numPr>
          <w:ilvl w:val="0"/>
          <w:numId w:val="1012"/>
        </w:numPr>
        <w:pStyle w:val="Compact"/>
      </w:pPr>
      <w:r>
        <w:t xml:space="preserve">Dimensi perbandingan mencakup kriteria istithaah, kapasitas tim pendamping, sistem rujukan, dan program edukasi pra-keberangkatan.</w:t>
      </w:r>
    </w:p>
    <w:p>
      <w:pPr>
        <w:numPr>
          <w:ilvl w:val="0"/>
          <w:numId w:val="1012"/>
        </w:numPr>
        <w:pStyle w:val="Compact"/>
      </w:pPr>
      <w:r>
        <w:t xml:space="preserve">Tantangan metodologis meliputi keterbatasan akses data, perbedaan bahasa, dan kesulitan menetapkan ukuran keberhasilan yang adil dibandingkan.</w:t>
      </w:r>
    </w:p>
    <w:p>
      <w:pPr>
        <w:numPr>
          <w:ilvl w:val="0"/>
          <w:numId w:val="1012"/>
        </w:numPr>
        <w:pStyle w:val="Compact"/>
      </w:pPr>
      <w:r>
        <w:t xml:space="preserve">Studi perbandingan yang cermat dapat menghasilkan rekomendasi pembelajaran kebijakan yang berharga bagi Indonesia.</w:t>
      </w:r>
    </w:p>
    <w:bookmarkEnd w:id="61"/>
    <w:bookmarkStart w:id="62" w:name="pertanyaan-diskusilatihan-5"/>
    <w:p>
      <w:pPr>
        <w:pStyle w:val="Heading3"/>
      </w:pPr>
      <w:r>
        <w:t xml:space="preserve">Pertanyaan Diskusi/Latihan</w:t>
      </w:r>
    </w:p>
    <w:p>
      <w:pPr>
        <w:numPr>
          <w:ilvl w:val="0"/>
          <w:numId w:val="1013"/>
        </w:numPr>
        <w:pStyle w:val="Compact"/>
      </w:pPr>
      <w:r>
        <w:t xml:space="preserve">Pilih dua negara pengirim jemaah dan rancang kerangka perbandingan kebijakan istithaah kesehatan antara keduanya dengan Indonesia.</w:t>
      </w:r>
    </w:p>
    <w:p>
      <w:pPr>
        <w:numPr>
          <w:ilvl w:val="0"/>
          <w:numId w:val="1013"/>
        </w:numPr>
        <w:pStyle w:val="Compact"/>
      </w:pPr>
      <w:r>
        <w:t xml:space="preserve">Diskusikan tantangan metodologis utama yang perlu diantisipasi mahasiswa saat merancang studi perbandingan kebijakan lintas negara.</w:t>
      </w:r>
    </w:p>
    <w:p>
      <w:pPr>
        <w:numPr>
          <w:ilvl w:val="0"/>
          <w:numId w:val="1013"/>
        </w:numPr>
        <w:pStyle w:val="Compact"/>
      </w:pPr>
      <w:r>
        <w:t xml:space="preserve">Identifikasi satu aspek kebijakan negara pengirim lain yang menurut Anda berpotensi menjadi pembelajaran berharga bagi Indonesia.</w:t>
      </w:r>
    </w:p>
    <w:bookmarkEnd w:id="62"/>
    <w:bookmarkEnd w:id="63"/>
    <w:bookmarkStart w:id="70" w:name="X877a63836da30b4da71632390b8d731509dea5b"/>
    <w:p>
      <w:pPr>
        <w:pStyle w:val="Heading2"/>
      </w:pPr>
      <w:r>
        <w:t xml:space="preserve">Bab 7. Advokasi dan Perumusan Rekomendasi Kebijakan Berbasis Bukti</w:t>
      </w:r>
    </w:p>
    <w:bookmarkStart w:id="64" w:name="dari-analisis-ke-advokasi"/>
    <w:p>
      <w:pPr>
        <w:pStyle w:val="Heading3"/>
      </w:pPr>
      <w:r>
        <w:t xml:space="preserve">7.1 Dari Analisis ke Advokasi</w:t>
      </w:r>
    </w:p>
    <w:p>
      <w:pPr>
        <w:pStyle w:val="FirstParagraph"/>
      </w:pPr>
      <w:r>
        <w:rPr>
          <w:bCs/>
          <w:b/>
        </w:rPr>
        <w:t xml:space="preserve">Mengapa Ini Penting.</w:t>
      </w:r>
      <w:r>
        <w:t xml:space="preserve"> </w:t>
      </w:r>
      <w:r>
        <w:t xml:space="preserve">Bab penutup buku A5 ini menjawab pertanyaan yang sering menghantui mahasiswa di penghujung studinya:</w:t>
      </w:r>
      <w:r>
        <w:t xml:space="preserve"> </w:t>
      </w:r>
      <w:r>
        <w:t xml:space="preserve">“</w:t>
      </w:r>
      <w:r>
        <w:t xml:space="preserve">setelah semua analisis ini selesai, lalu apa?</w:t>
      </w:r>
      <w:r>
        <w:t xml:space="preserve">”</w:t>
      </w:r>
      <w:r>
        <w:t xml:space="preserve"> </w:t>
      </w:r>
      <w:r>
        <w:t xml:space="preserve">Advokasi adalah jembatan antara analisis yang cermat dan perubahan nyata di lapangan.</w:t>
      </w:r>
    </w:p>
    <w:p>
      <w:pPr>
        <w:pStyle w:val="BodyText"/>
      </w:pPr>
      <w:r>
        <w:t xml:space="preserve">Bab penutup ini menjembatani kompetensi analisis kebijakan yang telah dibangun sepanjang buku ini dengan keterampilan advokasi — kemampuan mengomunikasikan temuan riset secara persuasif dan berbasis bukti kepada pembuat kebijakan agar rekomendasi yang dihasilkan benar-benar dipertimbangkan dan berpotensi diadopsi.</w:t>
      </w:r>
    </w:p>
    <w:bookmarkEnd w:id="64"/>
    <w:bookmarkStart w:id="65" w:name="X7078f1bb0c94053b9cc4769a08e65be0eb2e851"/>
    <w:p>
      <w:pPr>
        <w:pStyle w:val="Heading3"/>
      </w:pPr>
      <w:r>
        <w:t xml:space="preserve">7.2 Prinsip Advokasi Berbasis Bukti yang Etis</w:t>
      </w:r>
    </w:p>
    <w:p>
      <w:pPr>
        <w:pStyle w:val="FirstParagraph"/>
      </w:pPr>
      <w:r>
        <w:t xml:space="preserve">Advokasi kebijakan yang etis harus tetap berpijak pada bukti yang valid dan tidak melebih-lebihkan kepastian temuan riset demi kepentingan persuasi, sejalan dengan prinsip integritas akademik yang telah ditekankan pada buku tematik A4. Advokasi yang baik menyeimbangkan persuasi dengan kejujuran ilmiah, termasuk mengakui ketidakpastian atau keterbatasan bukti yang ada secara transparan.</w:t>
      </w:r>
    </w:p>
    <w:p>
      <w:pPr>
        <w:pStyle w:val="BodyText"/>
      </w:pPr>
      <w:r>
        <w:rPr>
          <w:iCs/>
          <w:i/>
        </w:rPr>
        <w:t xml:space="preserve">Ilustrasi.</w:t>
      </w:r>
      <w:r>
        <w:t xml:space="preserve"> </w:t>
      </w:r>
      <w:r>
        <w:t xml:space="preserve">Seorang mahasiswa dengan temuan awal yang menjanjikan namun berbasis sampel kecil tergoda menuliskannya sebagai</w:t>
      </w:r>
      <w:r>
        <w:t xml:space="preserve"> </w:t>
      </w:r>
      <w:r>
        <w:t xml:space="preserve">“</w:t>
      </w:r>
      <w:r>
        <w:t xml:space="preserve">terbukti efektif</w:t>
      </w:r>
      <w:r>
        <w:t xml:space="preserve">”</w:t>
      </w:r>
      <w:r>
        <w:t xml:space="preserve"> </w:t>
      </w:r>
      <w:r>
        <w:t xml:space="preserve">dalam policy brief-nya agar lebih meyakinkan. Advokasi yang etis menuntutnya menulis</w:t>
      </w:r>
      <w:r>
        <w:t xml:space="preserve"> </w:t>
      </w:r>
      <w:r>
        <w:t xml:space="preserve">“</w:t>
      </w:r>
      <w:r>
        <w:t xml:space="preserve">menunjukkan indikasi awal yang menjanjikan, perlu diverifikasi pada sampel lebih besar</w:t>
      </w:r>
      <w:r>
        <w:t xml:space="preserve">”</w:t>
      </w:r>
      <w:r>
        <w:t xml:space="preserve"> </w:t>
      </w:r>
      <w:r>
        <w:t xml:space="preserve">— kalimat yang tetap persuasif namun jujur terhadap keterbatasan bukti yang dimilikinya.</w:t>
      </w:r>
    </w:p>
    <w:bookmarkEnd w:id="65"/>
    <w:bookmarkStart w:id="66" w:name="menyusun-rekomendasi-yang-applicable"/>
    <w:p>
      <w:pPr>
        <w:pStyle w:val="Heading3"/>
      </w:pPr>
      <w:r>
        <w:t xml:space="preserve">7.3 Menyusun Rekomendasi yang Applicable</w:t>
      </w:r>
    </w:p>
    <w:p>
      <w:pPr>
        <w:pStyle w:val="FirstParagraph"/>
      </w:pPr>
      <w:r>
        <w:t xml:space="preserve">Rekomendasi kebijakan yang applicable harus mempertimbangkan batasan kewenangan aktor yang dituju (sebagaimana dibahas pada Bab 4), ketersediaan sumber daya untuk implementasi, dan tahapan implementasi yang realistis — bukan sekadar rekomendasi ideal yang mengabaikan kendala praktis di lapangan. Rekomendasi idealnya disertai indikator keberhasilan yang jelas agar dapat dievaluasi efektivitasnya di kemudian hari.</w:t>
      </w:r>
    </w:p>
    <w:bookmarkEnd w:id="66"/>
    <w:bookmarkStart w:id="67" w:name="saluran-advokasi-yang-tersedia"/>
    <w:p>
      <w:pPr>
        <w:pStyle w:val="Heading3"/>
      </w:pPr>
      <w:r>
        <w:t xml:space="preserve">7.4 Saluran Advokasi yang Tersedia</w:t>
      </w:r>
    </w:p>
    <w:p>
      <w:pPr>
        <w:pStyle w:val="FirstParagraph"/>
      </w:pPr>
      <w:r>
        <w:t xml:space="preserve">Saluran advokasi yang dapat dimanfaatkan mahasiswa dan akademisi kedokteran haji meliputi policy brief langsung kepada Kemenhaj/Kemenkes (sebagaimana dibahas teknis penyusunannya pada Bab 10 buku tematik A2), forum akademik dan seminar kebijakan, publikasi ilmiah yang dirancang menjangkau pembuat kebijakan, serta kolaborasi dengan organisasi profesi kedokteran yang memiliki jejaring dengan pembuat kebijakan kesehatan nasional.</w:t>
      </w:r>
    </w:p>
    <w:p>
      <w:pPr>
        <w:pStyle w:val="BodyText"/>
      </w:pPr>
      <w:r>
        <w:rPr>
          <w:iCs/>
          <w:i/>
        </w:rPr>
        <w:t xml:space="preserve">Ilustrasi.</w:t>
      </w:r>
      <w:r>
        <w:t xml:space="preserve"> </w:t>
      </w:r>
      <w:r>
        <w:t xml:space="preserve">Alih-alih hanya menyimpan tesisnya di rak perpustakaan kampus, seorang alumnus menyusun policy brief dua halaman dari temuan utamanya dan menyampaikannya melalui forum diskusi kebijakan yang dihadiri perwakilan Kemenkes — jalur konkret yang mengubah karya akademiknya dari sekadar dokumen kelulusan menjadi masukan yang benar-benar sampai ke meja pembuat kebijakan.</w:t>
      </w:r>
    </w:p>
    <w:bookmarkEnd w:id="67"/>
    <w:bookmarkStart w:id="68" w:name="ringkasan-poin-kunci-6"/>
    <w:p>
      <w:pPr>
        <w:pStyle w:val="Heading3"/>
      </w:pPr>
      <w:r>
        <w:t xml:space="preserve">Ringkasan Poin Kunci</w:t>
      </w:r>
    </w:p>
    <w:p>
      <w:pPr>
        <w:numPr>
          <w:ilvl w:val="0"/>
          <w:numId w:val="1014"/>
        </w:numPr>
        <w:pStyle w:val="Compact"/>
      </w:pPr>
      <w:r>
        <w:t xml:space="preserve">Advokasi kebijakan menjembatani kompetensi analisis dengan kemampuan mengomunikasikan temuan secara persuasif dan berbasis bukti.</w:t>
      </w:r>
    </w:p>
    <w:p>
      <w:pPr>
        <w:numPr>
          <w:ilvl w:val="0"/>
          <w:numId w:val="1014"/>
        </w:numPr>
        <w:pStyle w:val="Compact"/>
      </w:pPr>
      <w:r>
        <w:t xml:space="preserve">Advokasi yang etis menyeimbangkan persuasi dengan kejujuran ilmiah, tanpa melebih-lebihkan kepastian temuan riset.</w:t>
      </w:r>
    </w:p>
    <w:p>
      <w:pPr>
        <w:numPr>
          <w:ilvl w:val="0"/>
          <w:numId w:val="1014"/>
        </w:numPr>
        <w:pStyle w:val="Compact"/>
      </w:pPr>
      <w:r>
        <w:t xml:space="preserve">Rekomendasi kebijakan yang applicable mempertimbangkan batasan kewenangan, sumber daya, dan tahapan implementasi yang realistis.</w:t>
      </w:r>
    </w:p>
    <w:p>
      <w:pPr>
        <w:numPr>
          <w:ilvl w:val="0"/>
          <w:numId w:val="1014"/>
        </w:numPr>
        <w:pStyle w:val="Compact"/>
      </w:pPr>
      <w:r>
        <w:t xml:space="preserve">Saluran advokasi meliputi policy brief, forum akademik, publikasi ilmiah, dan kolaborasi organisasi profesi.</w:t>
      </w:r>
    </w:p>
    <w:bookmarkEnd w:id="68"/>
    <w:bookmarkStart w:id="69" w:name="pertanyaan-diskusilatihan-6"/>
    <w:p>
      <w:pPr>
        <w:pStyle w:val="Heading3"/>
      </w:pPr>
      <w:r>
        <w:t xml:space="preserve">Pertanyaan Diskusi/Latihan</w:t>
      </w:r>
    </w:p>
    <w:p>
      <w:pPr>
        <w:numPr>
          <w:ilvl w:val="0"/>
          <w:numId w:val="1015"/>
        </w:numPr>
        <w:pStyle w:val="Compact"/>
      </w:pPr>
      <w:r>
        <w:t xml:space="preserve">Jelaskan mengapa advokasi kebijakan yang etis harus menghindari melebih-lebihkan kepastian temuan riset.</w:t>
      </w:r>
    </w:p>
    <w:p>
      <w:pPr>
        <w:numPr>
          <w:ilvl w:val="0"/>
          <w:numId w:val="1015"/>
        </w:numPr>
        <w:pStyle w:val="Compact"/>
      </w:pPr>
      <w:r>
        <w:t xml:space="preserve">Susun satu rekomendasi kebijakan applicable berdasarkan temuan hipotetis bahwa program Manasik Kesehatan meningkatkan kepatuhan manajemen obat mandiri.</w:t>
      </w:r>
    </w:p>
    <w:p>
      <w:pPr>
        <w:numPr>
          <w:ilvl w:val="0"/>
          <w:numId w:val="1015"/>
        </w:numPr>
        <w:pStyle w:val="Compact"/>
      </w:pPr>
      <w:r>
        <w:t xml:space="preserve">Pilih satu saluran advokasi yang menurut Anda paling efektif untuk menjangkau Kemenhaj, dan jelaskan alasan pemilihannya.</w:t>
      </w:r>
    </w:p>
    <w:bookmarkEnd w:id="69"/>
    <w:bookmarkEnd w:id="70"/>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2026-07-07T23:16:08Z</dcterms:created>
  <dcterms:modified xsi:type="dcterms:W3CDTF">2026-07-07T23:16:08Z</dcterms:modified>
</cp:coreProperties>
</file>

<file path=docProps/custom.xml><?xml version="1.0" encoding="utf-8"?>
<Properties xmlns="http://schemas.openxmlformats.org/officeDocument/2006/custom-properties" xmlns:vt="http://schemas.openxmlformats.org/officeDocument/2006/docPropsVTypes"/>
</file>